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B00A4" w14:textId="781A5064" w:rsidR="008E6270" w:rsidRPr="007D113E" w:rsidRDefault="008E6270" w:rsidP="00A35743">
      <w:pPr>
        <w:spacing w:line="360" w:lineRule="auto"/>
        <w:jc w:val="center"/>
        <w:rPr>
          <w:rFonts w:ascii="Calibri" w:eastAsia="PMingLiU" w:hAnsi="Calibri" w:cs="Calibri"/>
          <w:b/>
          <w:bCs/>
          <w:sz w:val="24"/>
          <w:szCs w:val="24"/>
          <w:lang w:eastAsia="zh-TW"/>
        </w:rPr>
      </w:pPr>
      <w:bookmarkStart w:id="0" w:name="_Hlk161669360"/>
      <w:bookmarkStart w:id="1" w:name="_GoBack"/>
      <w:bookmarkEnd w:id="1"/>
      <w:r w:rsidRPr="007D113E">
        <w:rPr>
          <w:rFonts w:ascii="Calibri" w:eastAsia="PMingLiU" w:hAnsi="Calibri" w:cs="Calibri"/>
          <w:b/>
          <w:bCs/>
          <w:sz w:val="24"/>
          <w:szCs w:val="24"/>
          <w:lang w:eastAsia="zh-TW"/>
        </w:rPr>
        <w:t>宣教</w:t>
      </w:r>
      <w:r w:rsidR="00453853" w:rsidRPr="007D113E">
        <w:rPr>
          <w:rFonts w:ascii="Calibri" w:eastAsia="PMingLiU" w:hAnsi="Calibri" w:cs="Calibri"/>
          <w:b/>
          <w:bCs/>
          <w:sz w:val="24"/>
          <w:szCs w:val="24"/>
        </w:rPr>
        <w:t>随笔</w:t>
      </w:r>
    </w:p>
    <w:p w14:paraId="13047609" w14:textId="2A2C5AB6" w:rsidR="008E6270" w:rsidRPr="007D113E" w:rsidRDefault="008E6270" w:rsidP="00A35743">
      <w:pPr>
        <w:spacing w:line="360" w:lineRule="auto"/>
        <w:jc w:val="center"/>
        <w:rPr>
          <w:rFonts w:ascii="Calibri" w:eastAsia="PMingLiU" w:hAnsi="Calibri" w:cs="Calibri"/>
          <w:b/>
          <w:bCs/>
          <w:sz w:val="24"/>
          <w:szCs w:val="24"/>
          <w:lang w:eastAsia="zh-TW"/>
        </w:rPr>
      </w:pPr>
      <w:r w:rsidRPr="007D113E">
        <w:rPr>
          <w:rFonts w:ascii="Calibri" w:eastAsia="PMingLiU" w:hAnsi="Calibri" w:cs="Calibri"/>
          <w:b/>
          <w:bCs/>
          <w:sz w:val="24"/>
          <w:szCs w:val="24"/>
          <w:lang w:eastAsia="zh-TW"/>
        </w:rPr>
        <w:t>……</w:t>
      </w:r>
      <w:r w:rsidR="007D113E">
        <w:rPr>
          <w:rFonts w:ascii="Calibri" w:eastAsia="PMingLiU" w:hAnsi="Calibri" w:cs="Calibri"/>
          <w:b/>
          <w:bCs/>
          <w:sz w:val="24"/>
          <w:szCs w:val="24"/>
          <w:lang w:eastAsia="zh-TW"/>
        </w:rPr>
        <w:t>………………………………………………………</w:t>
      </w:r>
      <w:r w:rsidR="007D113E">
        <w:rPr>
          <w:rFonts w:ascii="Calibri" w:eastAsia="PMingLiU" w:hAnsi="Calibri" w:cs="Calibri" w:hint="eastAsia"/>
          <w:b/>
          <w:bCs/>
          <w:sz w:val="24"/>
          <w:szCs w:val="24"/>
          <w:lang w:eastAsia="zh-TW"/>
        </w:rPr>
        <w:t>..</w:t>
      </w:r>
      <w:r w:rsidRPr="007D113E">
        <w:rPr>
          <w:rFonts w:ascii="Calibri" w:eastAsia="PMingLiU" w:hAnsi="Calibri" w:cs="Calibri"/>
          <w:b/>
          <w:bCs/>
          <w:sz w:val="24"/>
          <w:szCs w:val="24"/>
          <w:lang w:eastAsia="zh-TW"/>
        </w:rPr>
        <w:t>………………………………………………………………………………</w:t>
      </w:r>
    </w:p>
    <w:bookmarkEnd w:id="0"/>
    <w:p w14:paraId="0334D24D" w14:textId="0DBC9A58" w:rsidR="008106B2" w:rsidRPr="007D113E" w:rsidRDefault="008106B2" w:rsidP="00A35743">
      <w:pPr>
        <w:spacing w:line="360" w:lineRule="auto"/>
        <w:jc w:val="center"/>
        <w:rPr>
          <w:rFonts w:ascii="Calibri" w:eastAsia="PMingLiU" w:hAnsi="Calibri" w:cs="Calibri"/>
          <w:b/>
          <w:bCs/>
          <w:sz w:val="24"/>
          <w:szCs w:val="24"/>
        </w:rPr>
      </w:pPr>
      <w:r w:rsidRPr="007D113E">
        <w:rPr>
          <w:rFonts w:ascii="Calibri" w:eastAsia="PMingLiU" w:hAnsi="Calibri" w:cs="Calibri"/>
          <w:b/>
          <w:bCs/>
          <w:sz w:val="24"/>
          <w:szCs w:val="24"/>
        </w:rPr>
        <w:t>宣教随笔</w:t>
      </w:r>
      <w:r w:rsidRPr="007D113E">
        <w:rPr>
          <w:rFonts w:ascii="Calibri" w:eastAsia="PMingLiU" w:hAnsi="Calibri" w:cs="Calibri"/>
          <w:b/>
          <w:bCs/>
          <w:sz w:val="24"/>
          <w:szCs w:val="24"/>
        </w:rPr>
        <w:t>4</w:t>
      </w:r>
      <w:r w:rsidR="00AA0F18" w:rsidRPr="007D113E">
        <w:rPr>
          <w:rFonts w:ascii="Calibri" w:eastAsia="PMingLiU" w:hAnsi="Calibri" w:cs="Calibri"/>
          <w:b/>
          <w:bCs/>
          <w:sz w:val="24"/>
          <w:szCs w:val="24"/>
        </w:rPr>
        <w:t>4</w:t>
      </w:r>
      <w:r w:rsidRPr="007D113E">
        <w:rPr>
          <w:rFonts w:ascii="Calibri" w:eastAsia="PMingLiU" w:hAnsi="Calibri" w:cs="Calibri"/>
          <w:b/>
          <w:bCs/>
          <w:sz w:val="24"/>
          <w:szCs w:val="24"/>
        </w:rPr>
        <w:t xml:space="preserve"> </w:t>
      </w:r>
      <w:bookmarkStart w:id="2" w:name="_Hlk173846184"/>
      <w:r w:rsidR="00AA0F18" w:rsidRPr="007D113E">
        <w:rPr>
          <w:rFonts w:ascii="Calibri" w:eastAsia="PMingLiU" w:hAnsi="Calibri" w:cs="Calibri"/>
          <w:b/>
          <w:bCs/>
          <w:sz w:val="24"/>
          <w:szCs w:val="24"/>
        </w:rPr>
        <w:t>文化与</w:t>
      </w:r>
      <w:r w:rsidR="00DC7F87" w:rsidRPr="007D113E">
        <w:rPr>
          <w:rFonts w:ascii="Calibri" w:eastAsia="PMingLiU" w:hAnsi="Calibri" w:cs="Calibri"/>
          <w:b/>
          <w:bCs/>
          <w:sz w:val="24"/>
          <w:szCs w:val="24"/>
        </w:rPr>
        <w:t>诠释学</w:t>
      </w:r>
      <w:r w:rsidR="00AA0F18" w:rsidRPr="007D113E">
        <w:rPr>
          <w:rFonts w:ascii="Calibri" w:eastAsia="PMingLiU" w:hAnsi="Calibri" w:cs="Calibri"/>
          <w:b/>
          <w:bCs/>
          <w:sz w:val="24"/>
          <w:szCs w:val="24"/>
        </w:rPr>
        <w:t xml:space="preserve"> </w:t>
      </w:r>
      <w:bookmarkEnd w:id="2"/>
      <w:r w:rsidRPr="007D113E">
        <w:rPr>
          <w:rFonts w:ascii="Calibri" w:eastAsia="PMingLiU" w:hAnsi="Calibri" w:cs="Calibri"/>
          <w:b/>
          <w:bCs/>
          <w:sz w:val="24"/>
          <w:szCs w:val="24"/>
        </w:rPr>
        <w:t>(</w:t>
      </w:r>
      <w:r w:rsidR="00AA0F18" w:rsidRPr="007D113E">
        <w:rPr>
          <w:rFonts w:ascii="Calibri" w:eastAsia="PMingLiU" w:hAnsi="Calibri" w:cs="Calibri"/>
          <w:b/>
          <w:bCs/>
          <w:sz w:val="24"/>
          <w:szCs w:val="24"/>
        </w:rPr>
        <w:t>一</w:t>
      </w:r>
      <w:r w:rsidRPr="007D113E">
        <w:rPr>
          <w:rFonts w:ascii="Calibri" w:eastAsia="PMingLiU" w:hAnsi="Calibri" w:cs="Calibri"/>
          <w:b/>
          <w:bCs/>
          <w:sz w:val="24"/>
          <w:szCs w:val="24"/>
        </w:rPr>
        <w:t>)</w:t>
      </w:r>
    </w:p>
    <w:p w14:paraId="0DB5EA09" w14:textId="3BFAE505" w:rsidR="003315F5" w:rsidRPr="007D113E" w:rsidRDefault="002F7A74" w:rsidP="00A35743">
      <w:pPr>
        <w:spacing w:line="360" w:lineRule="auto"/>
        <w:jc w:val="center"/>
        <w:rPr>
          <w:rFonts w:ascii="Calibri" w:eastAsia="PMingLiU" w:hAnsi="Calibri" w:cs="Calibri"/>
          <w:b/>
          <w:bCs/>
          <w:sz w:val="24"/>
          <w:szCs w:val="24"/>
        </w:rPr>
      </w:pPr>
      <w:r w:rsidRPr="007D113E">
        <w:rPr>
          <w:rFonts w:ascii="Calibri" w:eastAsia="PMingLiU" w:hAnsi="Calibri" w:cs="Calibri"/>
          <w:b/>
          <w:bCs/>
          <w:sz w:val="24"/>
          <w:szCs w:val="24"/>
        </w:rPr>
        <w:t>叶大铭</w:t>
      </w:r>
    </w:p>
    <w:p w14:paraId="2CE0FFFA" w14:textId="77777777" w:rsidR="007D113E" w:rsidRPr="007D113E" w:rsidRDefault="007D113E" w:rsidP="00A35743">
      <w:pPr>
        <w:spacing w:line="360" w:lineRule="auto"/>
        <w:jc w:val="both"/>
        <w:rPr>
          <w:rFonts w:ascii="Calibri" w:eastAsia="PMingLiU" w:hAnsi="Calibri" w:cs="Calibri"/>
          <w:b/>
          <w:bCs/>
          <w:sz w:val="24"/>
          <w:szCs w:val="24"/>
        </w:rPr>
      </w:pPr>
    </w:p>
    <w:p w14:paraId="71FB5F63" w14:textId="10DFD07B" w:rsidR="00EB3FC5" w:rsidRPr="007D113E" w:rsidRDefault="00D4310D"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rPr>
        <w:tab/>
      </w:r>
      <w:r w:rsidRPr="007D113E">
        <w:rPr>
          <w:rFonts w:ascii="Calibri" w:eastAsia="PMingLiU" w:hAnsi="Calibri" w:cs="Calibri"/>
          <w:sz w:val="24"/>
          <w:szCs w:val="24"/>
        </w:rPr>
        <w:t>上</w:t>
      </w:r>
      <w:r w:rsidR="00647FF6" w:rsidRPr="007D113E">
        <w:rPr>
          <w:rFonts w:ascii="Calibri" w:eastAsia="PMingLiU" w:hAnsi="Calibri" w:cs="Calibri"/>
          <w:sz w:val="24"/>
          <w:szCs w:val="24"/>
        </w:rPr>
        <w:t>两</w:t>
      </w:r>
      <w:r w:rsidRPr="007D113E">
        <w:rPr>
          <w:rFonts w:ascii="Calibri" w:eastAsia="PMingLiU" w:hAnsi="Calibri" w:cs="Calibri"/>
          <w:sz w:val="24"/>
          <w:szCs w:val="24"/>
        </w:rPr>
        <w:t>期介绍了</w:t>
      </w:r>
      <w:bookmarkStart w:id="3" w:name="_Hlk173846381"/>
      <w:r w:rsidRPr="007D113E">
        <w:rPr>
          <w:rFonts w:ascii="Calibri" w:eastAsia="PMingLiU" w:hAnsi="Calibri" w:cs="Calibri"/>
          <w:sz w:val="24"/>
          <w:szCs w:val="24"/>
        </w:rPr>
        <w:t>使命导向释经法</w:t>
      </w:r>
      <w:bookmarkEnd w:id="3"/>
      <w:r w:rsidR="005F4887" w:rsidRPr="007D113E">
        <w:rPr>
          <w:rFonts w:ascii="Calibri" w:eastAsia="PMingLiU" w:hAnsi="Calibri" w:cs="Calibri"/>
          <w:sz w:val="24"/>
          <w:szCs w:val="24"/>
          <w:lang w:val="en-US"/>
        </w:rPr>
        <w:t>，今期开始谈论文化与诠释学</w:t>
      </w:r>
      <w:r w:rsidR="005F4887" w:rsidRPr="007D113E">
        <w:rPr>
          <w:rFonts w:ascii="Calibri" w:eastAsia="PMingLiU" w:hAnsi="Calibri" w:cs="Calibri"/>
          <w:sz w:val="24"/>
          <w:szCs w:val="24"/>
          <w:lang w:val="en-US"/>
        </w:rPr>
        <w:t>(</w:t>
      </w:r>
      <w:r w:rsidR="009B143E" w:rsidRPr="007D113E">
        <w:rPr>
          <w:rFonts w:ascii="Calibri" w:eastAsia="PMingLiU" w:hAnsi="Calibri" w:cs="Calibri"/>
          <w:sz w:val="24"/>
          <w:szCs w:val="24"/>
          <w:lang w:val="en-US"/>
        </w:rPr>
        <w:t>hermeneutics</w:t>
      </w:r>
      <w:r w:rsidR="005F4887" w:rsidRPr="007D113E">
        <w:rPr>
          <w:rFonts w:ascii="Calibri" w:eastAsia="PMingLiU" w:hAnsi="Calibri" w:cs="Calibri"/>
          <w:sz w:val="24"/>
          <w:szCs w:val="24"/>
          <w:lang w:val="en-US"/>
        </w:rPr>
        <w:t>又称解释学</w:t>
      </w:r>
      <w:r w:rsidR="005F4887" w:rsidRPr="007D113E">
        <w:rPr>
          <w:rFonts w:ascii="Calibri" w:eastAsia="PMingLiU" w:hAnsi="Calibri" w:cs="Calibri"/>
          <w:sz w:val="24"/>
          <w:szCs w:val="24"/>
          <w:lang w:val="en-US"/>
        </w:rPr>
        <w:t>)</w:t>
      </w:r>
      <w:r w:rsidR="005F4887" w:rsidRPr="007D113E">
        <w:rPr>
          <w:rFonts w:ascii="Calibri" w:eastAsia="PMingLiU" w:hAnsi="Calibri" w:cs="Calibri"/>
          <w:sz w:val="24"/>
          <w:szCs w:val="24"/>
          <w:lang w:val="en-US"/>
        </w:rPr>
        <w:t>。当然这里说的诠释主要是有关圣经的诠释。</w:t>
      </w:r>
    </w:p>
    <w:p w14:paraId="3D5511D7" w14:textId="24A2D29A" w:rsidR="005F4887" w:rsidRPr="007D113E" w:rsidRDefault="005F4887"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研读圣经，一定要明白经文的文化背景。</w:t>
      </w:r>
      <w:r w:rsidR="00647FF6" w:rsidRPr="007D113E">
        <w:rPr>
          <w:rFonts w:ascii="Calibri" w:eastAsia="PMingLiU" w:hAnsi="Calibri" w:cs="Calibri"/>
          <w:sz w:val="24"/>
          <w:szCs w:val="24"/>
          <w:lang w:val="en-US"/>
        </w:rPr>
        <w:t>在异文化中</w:t>
      </w:r>
      <w:r w:rsidR="009416E3" w:rsidRPr="007D113E">
        <w:rPr>
          <w:rFonts w:ascii="Calibri" w:eastAsia="PMingLiU" w:hAnsi="Calibri" w:cs="Calibri"/>
          <w:sz w:val="24"/>
          <w:szCs w:val="24"/>
          <w:lang w:val="en-US"/>
        </w:rPr>
        <w:t>传递圣经教导，需要明白接收者的文化背景。</w:t>
      </w:r>
      <w:r w:rsidRPr="007D113E">
        <w:rPr>
          <w:rFonts w:ascii="Calibri" w:eastAsia="PMingLiU" w:hAnsi="Calibri" w:cs="Calibri"/>
          <w:sz w:val="24"/>
          <w:szCs w:val="24"/>
          <w:lang w:val="en-US"/>
        </w:rPr>
        <w:t>不单如此，诠释者的文化背景</w:t>
      </w:r>
      <w:r w:rsidR="009416E3" w:rsidRPr="007D113E">
        <w:rPr>
          <w:rFonts w:ascii="Calibri" w:eastAsia="PMingLiU" w:hAnsi="Calibri" w:cs="Calibri"/>
          <w:sz w:val="24"/>
          <w:szCs w:val="24"/>
          <w:lang w:val="en-US"/>
        </w:rPr>
        <w:t>对圣经的诠释</w:t>
      </w:r>
      <w:r w:rsidR="009B143E" w:rsidRPr="007D113E">
        <w:rPr>
          <w:rFonts w:ascii="Calibri" w:eastAsia="PMingLiU" w:hAnsi="Calibri" w:cs="Calibri"/>
          <w:sz w:val="24"/>
          <w:szCs w:val="24"/>
          <w:lang w:val="en-US"/>
        </w:rPr>
        <w:t>有很大的影响</w:t>
      </w:r>
      <w:r w:rsidR="009416E3" w:rsidRPr="007D113E">
        <w:rPr>
          <w:rFonts w:ascii="Calibri" w:eastAsia="PMingLiU" w:hAnsi="Calibri" w:cs="Calibri"/>
          <w:sz w:val="24"/>
          <w:szCs w:val="24"/>
          <w:lang w:val="en-US"/>
        </w:rPr>
        <w:t>。现在大部分的圣经注释书都是西方的写作，西方圣经学者难免受到数世纪</w:t>
      </w:r>
      <w:r w:rsidR="00C24A94" w:rsidRPr="007D113E">
        <w:rPr>
          <w:rFonts w:ascii="Calibri" w:eastAsia="PMingLiU" w:hAnsi="Calibri" w:cs="Calibri"/>
          <w:sz w:val="24"/>
          <w:szCs w:val="24"/>
          <w:lang w:val="en-US"/>
        </w:rPr>
        <w:t>西方</w:t>
      </w:r>
      <w:r w:rsidR="009416E3" w:rsidRPr="007D113E">
        <w:rPr>
          <w:rFonts w:ascii="Calibri" w:eastAsia="PMingLiU" w:hAnsi="Calibri" w:cs="Calibri"/>
          <w:sz w:val="24"/>
          <w:szCs w:val="24"/>
          <w:lang w:val="en-US"/>
        </w:rPr>
        <w:t>的思潮、</w:t>
      </w:r>
      <w:r w:rsidR="00647FF6" w:rsidRPr="007D113E">
        <w:rPr>
          <w:rFonts w:ascii="Calibri" w:eastAsia="PMingLiU" w:hAnsi="Calibri" w:cs="Calibri"/>
          <w:sz w:val="24"/>
          <w:szCs w:val="24"/>
          <w:lang w:val="en-US"/>
        </w:rPr>
        <w:t>哲学、</w:t>
      </w:r>
      <w:r w:rsidR="0050193E" w:rsidRPr="007D113E">
        <w:rPr>
          <w:rFonts w:ascii="Calibri" w:eastAsia="PMingLiU" w:hAnsi="Calibri" w:cs="Calibri"/>
          <w:sz w:val="24"/>
          <w:szCs w:val="24"/>
          <w:lang w:val="en-US"/>
        </w:rPr>
        <w:t>殖民主义、</w:t>
      </w:r>
      <w:r w:rsidR="00647FF6" w:rsidRPr="007D113E">
        <w:rPr>
          <w:rFonts w:ascii="Calibri" w:eastAsia="PMingLiU" w:hAnsi="Calibri" w:cs="Calibri"/>
          <w:sz w:val="24"/>
          <w:szCs w:val="24"/>
          <w:lang w:val="en-US"/>
        </w:rPr>
        <w:t>社会结构、个人主义等等影响。近年来开始出现了主要世界的注释书，对比一下便可以知道分别了。这些分别是文化影响带来的，</w:t>
      </w:r>
      <w:r w:rsidR="00DE3262" w:rsidRPr="007D113E">
        <w:rPr>
          <w:rFonts w:ascii="Calibri" w:eastAsia="PMingLiU" w:hAnsi="Calibri" w:cs="Calibri"/>
          <w:sz w:val="24"/>
          <w:szCs w:val="24"/>
          <w:lang w:val="en-US"/>
        </w:rPr>
        <w:t>因此我们需要明白文化与诠释学的关系。</w:t>
      </w:r>
    </w:p>
    <w:p w14:paraId="70187018" w14:textId="2119ECC6" w:rsidR="009B143E" w:rsidRPr="007D113E" w:rsidRDefault="009B143E"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今期介绍两位圣经学者，藉此帮助我们明白文化对圣经诠释和神学的影响。这两位的学说都有些问题，不完全符合福音派的释经法的。</w:t>
      </w:r>
    </w:p>
    <w:p w14:paraId="367630E6" w14:textId="473D03C9" w:rsidR="00BB0C74" w:rsidRPr="007D113E" w:rsidRDefault="000F71D2" w:rsidP="00A35743">
      <w:pPr>
        <w:spacing w:line="360" w:lineRule="auto"/>
        <w:jc w:val="both"/>
        <w:rPr>
          <w:rFonts w:ascii="Calibri" w:eastAsia="PMingLiU" w:hAnsi="Calibri" w:cs="Calibri"/>
          <w:b/>
          <w:bCs/>
          <w:sz w:val="24"/>
          <w:szCs w:val="24"/>
          <w:lang w:val="en-US"/>
        </w:rPr>
      </w:pPr>
      <w:r w:rsidRPr="007D113E">
        <w:rPr>
          <w:rFonts w:ascii="Calibri" w:eastAsia="PMingLiU" w:hAnsi="Calibri" w:cs="Calibri"/>
          <w:b/>
          <w:bCs/>
          <w:sz w:val="24"/>
          <w:szCs w:val="24"/>
          <w:lang w:val="en-US"/>
        </w:rPr>
        <w:t>一</w:t>
      </w:r>
      <w:r w:rsidRPr="007D113E">
        <w:rPr>
          <w:rFonts w:ascii="Calibri" w:eastAsia="PMingLiU" w:hAnsi="Calibri" w:cs="Calibri"/>
          <w:b/>
          <w:bCs/>
          <w:sz w:val="24"/>
          <w:szCs w:val="24"/>
          <w:lang w:val="en-US"/>
        </w:rPr>
        <w:t xml:space="preserve">.  </w:t>
      </w:r>
      <w:proofErr w:type="spellStart"/>
      <w:r w:rsidR="00BB0C74" w:rsidRPr="007D113E">
        <w:rPr>
          <w:rFonts w:ascii="Calibri" w:eastAsia="PMingLiU" w:hAnsi="Calibri" w:cs="Calibri"/>
          <w:b/>
          <w:bCs/>
          <w:sz w:val="24"/>
          <w:szCs w:val="24"/>
          <w:lang w:val="en-US"/>
        </w:rPr>
        <w:t>Sugirtharajah</w:t>
      </w:r>
      <w:proofErr w:type="spellEnd"/>
      <w:r w:rsidR="00DE3262" w:rsidRPr="007D113E">
        <w:rPr>
          <w:rFonts w:ascii="Calibri" w:eastAsia="PMingLiU" w:hAnsi="Calibri" w:cs="Calibri"/>
          <w:b/>
          <w:bCs/>
          <w:sz w:val="24"/>
          <w:szCs w:val="24"/>
          <w:lang w:val="en-US"/>
        </w:rPr>
        <w:t xml:space="preserve"> </w:t>
      </w:r>
      <w:bookmarkStart w:id="4" w:name="_Hlk192761248"/>
      <w:r w:rsidR="00DE3262" w:rsidRPr="007D113E">
        <w:rPr>
          <w:rFonts w:ascii="Calibri" w:eastAsia="PMingLiU" w:hAnsi="Calibri" w:cs="Calibri"/>
          <w:b/>
          <w:bCs/>
          <w:sz w:val="24"/>
          <w:szCs w:val="24"/>
          <w:lang w:val="en-US"/>
        </w:rPr>
        <w:t>苏吉达</w:t>
      </w:r>
      <w:r w:rsidR="007352D1" w:rsidRPr="007D113E">
        <w:rPr>
          <w:rFonts w:ascii="Calibri" w:eastAsia="PMingLiU" w:hAnsi="Calibri" w:cs="Calibri"/>
          <w:b/>
          <w:bCs/>
          <w:sz w:val="24"/>
          <w:szCs w:val="24"/>
          <w:lang w:val="en-US"/>
        </w:rPr>
        <w:t>拉扎</w:t>
      </w:r>
      <w:bookmarkEnd w:id="4"/>
    </w:p>
    <w:p w14:paraId="5B070477" w14:textId="75230FD6" w:rsidR="007352D1" w:rsidRPr="007D113E" w:rsidRDefault="007352D1" w:rsidP="00A35743">
      <w:pPr>
        <w:spacing w:line="360" w:lineRule="auto"/>
        <w:ind w:firstLine="720"/>
        <w:jc w:val="both"/>
        <w:rPr>
          <w:rFonts w:ascii="Calibri" w:eastAsia="PMingLiU" w:hAnsi="Calibri" w:cs="Calibri"/>
          <w:sz w:val="24"/>
          <w:szCs w:val="24"/>
          <w:lang w:val="en-US"/>
        </w:rPr>
      </w:pPr>
      <w:bookmarkStart w:id="5" w:name="_Hlk193096733"/>
      <w:r w:rsidRPr="007D113E">
        <w:rPr>
          <w:rFonts w:ascii="Calibri" w:eastAsia="PMingLiU" w:hAnsi="Calibri" w:cs="Calibri"/>
          <w:sz w:val="24"/>
          <w:szCs w:val="24"/>
          <w:lang w:val="en-US"/>
        </w:rPr>
        <w:t>苏吉达拉扎</w:t>
      </w:r>
      <w:bookmarkEnd w:id="5"/>
      <w:r w:rsidRPr="007D113E">
        <w:rPr>
          <w:rFonts w:ascii="Calibri" w:eastAsia="PMingLiU" w:hAnsi="Calibri" w:cs="Calibri"/>
          <w:sz w:val="24"/>
          <w:szCs w:val="24"/>
          <w:lang w:val="en-US"/>
        </w:rPr>
        <w:t>原是斯里兰卡人，在英国取得博士学位，专攻新约圣经，是</w:t>
      </w:r>
      <w:r w:rsidR="00FA101F" w:rsidRPr="007D113E">
        <w:rPr>
          <w:rFonts w:ascii="Calibri" w:eastAsia="PMingLiU" w:hAnsi="Calibri" w:cs="Calibri"/>
          <w:sz w:val="24"/>
          <w:szCs w:val="24"/>
          <w:lang w:val="en-US"/>
        </w:rPr>
        <w:t>英国</w:t>
      </w:r>
      <w:r w:rsidRPr="007D113E">
        <w:rPr>
          <w:rFonts w:ascii="Calibri" w:eastAsia="PMingLiU" w:hAnsi="Calibri" w:cs="Calibri"/>
          <w:sz w:val="24"/>
          <w:szCs w:val="24"/>
          <w:lang w:val="en-US"/>
        </w:rPr>
        <w:t>伯明翰大学名誉教授。</w:t>
      </w:r>
      <w:r w:rsidR="0050193E" w:rsidRPr="007D113E">
        <w:rPr>
          <w:rFonts w:ascii="Calibri" w:eastAsia="PMingLiU" w:hAnsi="Calibri" w:cs="Calibri"/>
          <w:sz w:val="24"/>
          <w:szCs w:val="24"/>
          <w:lang w:val="en-US"/>
        </w:rPr>
        <w:t>他的著名写作包括后殖民主义的诠释方法。</w:t>
      </w:r>
    </w:p>
    <w:p w14:paraId="1D57FC6F" w14:textId="5DE80344" w:rsidR="00EF310B" w:rsidRPr="007D113E" w:rsidRDefault="00EF310B" w:rsidP="00A35743">
      <w:pPr>
        <w:spacing w:line="360" w:lineRule="auto"/>
        <w:ind w:firstLine="720"/>
        <w:jc w:val="both"/>
        <w:rPr>
          <w:rFonts w:ascii="Calibri" w:eastAsia="PMingLiU" w:hAnsi="Calibri" w:cs="Calibri"/>
          <w:sz w:val="24"/>
          <w:szCs w:val="24"/>
          <w:lang w:val="en-US"/>
        </w:rPr>
      </w:pPr>
      <w:r w:rsidRPr="007D113E">
        <w:rPr>
          <w:rFonts w:ascii="Calibri" w:eastAsia="PMingLiU" w:hAnsi="Calibri" w:cs="Calibri"/>
          <w:sz w:val="24"/>
          <w:szCs w:val="24"/>
          <w:lang w:val="en-US"/>
        </w:rPr>
        <w:t>西方的诠释法的形成是几百年的</w:t>
      </w:r>
      <w:r w:rsidR="00EB48B7" w:rsidRPr="007D113E">
        <w:rPr>
          <w:rFonts w:ascii="Calibri" w:eastAsia="PMingLiU" w:hAnsi="Calibri" w:cs="Calibri"/>
          <w:sz w:val="24"/>
          <w:szCs w:val="24"/>
          <w:lang w:val="en-US"/>
        </w:rPr>
        <w:t>学术</w:t>
      </w:r>
      <w:r w:rsidRPr="007D113E">
        <w:rPr>
          <w:rFonts w:ascii="Calibri" w:eastAsia="PMingLiU" w:hAnsi="Calibri" w:cs="Calibri"/>
          <w:sz w:val="24"/>
          <w:szCs w:val="24"/>
          <w:lang w:val="en-US"/>
        </w:rPr>
        <w:t>成果，而这时段正是西方殖民最旺盛的时代。</w:t>
      </w:r>
      <w:r w:rsidR="00272828" w:rsidRPr="007D113E">
        <w:rPr>
          <w:rFonts w:ascii="Calibri" w:eastAsia="PMingLiU" w:hAnsi="Calibri" w:cs="Calibri"/>
          <w:sz w:val="24"/>
          <w:szCs w:val="24"/>
          <w:lang w:val="en-US"/>
        </w:rPr>
        <w:t>很多时候</w:t>
      </w:r>
      <w:r w:rsidRPr="007D113E">
        <w:rPr>
          <w:rFonts w:ascii="Calibri" w:eastAsia="PMingLiU" w:hAnsi="Calibri" w:cs="Calibri"/>
          <w:sz w:val="24"/>
          <w:szCs w:val="24"/>
          <w:lang w:val="en-US"/>
        </w:rPr>
        <w:t>基督教</w:t>
      </w:r>
      <w:r w:rsidR="00272828" w:rsidRPr="007D113E">
        <w:rPr>
          <w:rFonts w:ascii="Calibri" w:eastAsia="PMingLiU" w:hAnsi="Calibri" w:cs="Calibri"/>
          <w:sz w:val="24"/>
          <w:szCs w:val="24"/>
          <w:lang w:val="en-US"/>
        </w:rPr>
        <w:t>藉着殖民扩张传到其他地方。宣教士不但传福音，也将西方文明和文化传来。在基督教里让</w:t>
      </w:r>
      <w:r w:rsidR="00F25BAD" w:rsidRPr="007D113E">
        <w:rPr>
          <w:rFonts w:ascii="Calibri" w:eastAsia="PMingLiU" w:hAnsi="Calibri" w:cs="Calibri"/>
          <w:sz w:val="24"/>
          <w:szCs w:val="24"/>
          <w:lang w:val="en-US"/>
        </w:rPr>
        <w:t>西方神学和诠释学作为普世正统学说，同时贬低当地的学说和诠释方法。在这情况下苏吉达拉扎提出他的</w:t>
      </w:r>
      <w:bookmarkStart w:id="6" w:name="_Hlk193097021"/>
      <w:r w:rsidR="00F25BAD" w:rsidRPr="007D113E">
        <w:rPr>
          <w:rFonts w:ascii="Calibri" w:eastAsia="PMingLiU" w:hAnsi="Calibri" w:cs="Calibri"/>
          <w:sz w:val="24"/>
          <w:szCs w:val="24"/>
          <w:lang w:val="en-US"/>
        </w:rPr>
        <w:t>后殖民诠释法</w:t>
      </w:r>
      <w:bookmarkEnd w:id="6"/>
      <w:r w:rsidR="00F25BAD" w:rsidRPr="007D113E">
        <w:rPr>
          <w:rFonts w:ascii="Calibri" w:eastAsia="PMingLiU" w:hAnsi="Calibri" w:cs="Calibri"/>
          <w:sz w:val="24"/>
          <w:szCs w:val="24"/>
          <w:lang w:val="en-US"/>
        </w:rPr>
        <w:t>。</w:t>
      </w:r>
    </w:p>
    <w:p w14:paraId="52A40903" w14:textId="45E76EDB" w:rsidR="006B11EA" w:rsidRPr="007D113E" w:rsidRDefault="004E2014"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 xml:space="preserve">1. </w:t>
      </w:r>
      <w:r w:rsidR="006B11EA" w:rsidRPr="007D113E">
        <w:rPr>
          <w:rFonts w:ascii="Calibri" w:eastAsia="PMingLiU" w:hAnsi="Calibri" w:cs="Calibri"/>
          <w:sz w:val="24"/>
          <w:szCs w:val="24"/>
          <w:lang w:val="en-US"/>
        </w:rPr>
        <w:t>后殖民诠释法</w:t>
      </w:r>
      <w:r w:rsidR="00FA101F" w:rsidRPr="007D113E">
        <w:rPr>
          <w:rFonts w:ascii="Calibri" w:eastAsia="PMingLiU" w:hAnsi="Calibri" w:cs="Calibri"/>
          <w:sz w:val="24"/>
          <w:szCs w:val="24"/>
          <w:lang w:val="en-US"/>
        </w:rPr>
        <w:t xml:space="preserve"> (post-colonial hermeneutics)</w:t>
      </w:r>
    </w:p>
    <w:p w14:paraId="3999575C" w14:textId="70AE9B97" w:rsidR="004E2014" w:rsidRPr="007D113E" w:rsidRDefault="004E2014"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bookmarkStart w:id="7" w:name="_Hlk193099239"/>
      <w:r w:rsidRPr="007D113E">
        <w:rPr>
          <w:rFonts w:ascii="Calibri" w:eastAsia="PMingLiU" w:hAnsi="Calibri" w:cs="Calibri"/>
          <w:sz w:val="24"/>
          <w:szCs w:val="24"/>
          <w:lang w:val="en-US"/>
        </w:rPr>
        <w:t>苏吉达拉扎</w:t>
      </w:r>
      <w:bookmarkEnd w:id="7"/>
      <w:r w:rsidRPr="007D113E">
        <w:rPr>
          <w:rFonts w:ascii="Calibri" w:eastAsia="PMingLiU" w:hAnsi="Calibri" w:cs="Calibri"/>
          <w:sz w:val="24"/>
          <w:szCs w:val="24"/>
          <w:lang w:val="en-US"/>
        </w:rPr>
        <w:t>在</w:t>
      </w:r>
      <w:r w:rsidRPr="007D113E">
        <w:rPr>
          <w:rFonts w:ascii="Calibri" w:eastAsia="PMingLiU" w:hAnsi="Calibri" w:cs="Calibri"/>
          <w:sz w:val="24"/>
          <w:szCs w:val="24"/>
          <w:lang w:val="en-US"/>
        </w:rPr>
        <w:t>1996</w:t>
      </w:r>
      <w:r w:rsidRPr="007D113E">
        <w:rPr>
          <w:rFonts w:ascii="Calibri" w:eastAsia="PMingLiU" w:hAnsi="Calibri" w:cs="Calibri"/>
          <w:sz w:val="24"/>
          <w:szCs w:val="24"/>
          <w:lang w:val="en-US"/>
        </w:rPr>
        <w:t>年写的有关后殖民圣经批判文章是第一篇后殖民诠释法文章</w:t>
      </w:r>
      <w:r w:rsidR="00A35743" w:rsidRPr="007D113E">
        <w:rPr>
          <w:rFonts w:ascii="Calibri" w:eastAsia="PMingLiU" w:hAnsi="Calibri" w:cs="Calibri"/>
          <w:sz w:val="24"/>
          <w:szCs w:val="24"/>
          <w:lang w:val="en-US"/>
        </w:rPr>
        <w:t>。</w:t>
      </w:r>
      <w:r w:rsidRPr="007D113E">
        <w:rPr>
          <w:rStyle w:val="EndnoteReference"/>
          <w:rFonts w:ascii="Calibri" w:eastAsia="PMingLiU" w:hAnsi="Calibri" w:cs="Calibri"/>
          <w:sz w:val="24"/>
          <w:szCs w:val="24"/>
          <w:lang w:val="en-US"/>
        </w:rPr>
        <w:endnoteReference w:id="1"/>
      </w:r>
      <w:r w:rsidR="00003108" w:rsidRPr="007D113E">
        <w:rPr>
          <w:rFonts w:ascii="Calibri" w:eastAsia="PMingLiU" w:hAnsi="Calibri" w:cs="Calibri"/>
          <w:sz w:val="24"/>
          <w:szCs w:val="24"/>
          <w:lang w:val="en-US"/>
        </w:rPr>
        <w:t>这篇文章</w:t>
      </w:r>
      <w:r w:rsidR="00A55BD1" w:rsidRPr="007D113E">
        <w:rPr>
          <w:rFonts w:ascii="Calibri" w:eastAsia="PMingLiU" w:hAnsi="Calibri" w:cs="Calibri"/>
          <w:sz w:val="24"/>
          <w:szCs w:val="24"/>
          <w:lang w:val="en-US"/>
        </w:rPr>
        <w:t>分析当时释经方法分为三种。第一种是东方式</w:t>
      </w:r>
      <w:r w:rsidR="00A55BD1" w:rsidRPr="007D113E">
        <w:rPr>
          <w:rFonts w:ascii="Calibri" w:eastAsia="PMingLiU" w:hAnsi="Calibri" w:cs="Calibri"/>
          <w:sz w:val="24"/>
          <w:szCs w:val="24"/>
          <w:lang w:val="en-US"/>
        </w:rPr>
        <w:t xml:space="preserve"> (Orientalist) </w:t>
      </w:r>
      <w:r w:rsidR="00A55BD1" w:rsidRPr="007D113E">
        <w:rPr>
          <w:rFonts w:ascii="Calibri" w:eastAsia="PMingLiU" w:hAnsi="Calibri" w:cs="Calibri"/>
          <w:sz w:val="24"/>
          <w:szCs w:val="24"/>
          <w:lang w:val="en-US"/>
        </w:rPr>
        <w:t>，尝试表达圣经与当</w:t>
      </w:r>
      <w:r w:rsidR="00A55BD1" w:rsidRPr="007D113E">
        <w:rPr>
          <w:rFonts w:ascii="Calibri" w:eastAsia="PMingLiU" w:hAnsi="Calibri" w:cs="Calibri"/>
          <w:sz w:val="24"/>
          <w:szCs w:val="24"/>
          <w:lang w:val="en-US"/>
        </w:rPr>
        <w:lastRenderedPageBreak/>
        <w:t>地文献</w:t>
      </w:r>
      <w:r w:rsidR="00A55BD1" w:rsidRPr="007D113E">
        <w:rPr>
          <w:rFonts w:ascii="Calibri" w:eastAsia="PMingLiU" w:hAnsi="Calibri" w:cs="Calibri"/>
          <w:sz w:val="24"/>
          <w:szCs w:val="24"/>
          <w:lang w:val="en-US"/>
        </w:rPr>
        <w:t xml:space="preserve"> (</w:t>
      </w:r>
      <w:r w:rsidR="00A55BD1" w:rsidRPr="007D113E">
        <w:rPr>
          <w:rFonts w:ascii="Calibri" w:eastAsia="PMingLiU" w:hAnsi="Calibri" w:cs="Calibri"/>
          <w:sz w:val="24"/>
          <w:szCs w:val="24"/>
          <w:lang w:val="en-US"/>
        </w:rPr>
        <w:t>例如印度经典</w:t>
      </w:r>
      <w:r w:rsidR="00A55BD1" w:rsidRPr="007D113E">
        <w:rPr>
          <w:rFonts w:ascii="Calibri" w:eastAsia="PMingLiU" w:hAnsi="Calibri" w:cs="Calibri"/>
          <w:sz w:val="24"/>
          <w:szCs w:val="24"/>
          <w:lang w:val="en-US"/>
        </w:rPr>
        <w:t xml:space="preserve">) </w:t>
      </w:r>
      <w:r w:rsidR="00A55BD1" w:rsidRPr="007D113E">
        <w:rPr>
          <w:rFonts w:ascii="Calibri" w:eastAsia="PMingLiU" w:hAnsi="Calibri" w:cs="Calibri"/>
          <w:sz w:val="24"/>
          <w:szCs w:val="24"/>
          <w:lang w:val="en-US"/>
        </w:rPr>
        <w:t>的关联，好像</w:t>
      </w:r>
      <w:r w:rsidR="00E56BDB" w:rsidRPr="007D113E">
        <w:rPr>
          <w:rFonts w:ascii="Calibri" w:eastAsia="PMingLiU" w:hAnsi="Calibri" w:cs="Calibri"/>
          <w:sz w:val="24"/>
          <w:szCs w:val="24"/>
          <w:lang w:val="en-US"/>
        </w:rPr>
        <w:t>在殖民帝国时代</w:t>
      </w:r>
      <w:r w:rsidR="00A55BD1" w:rsidRPr="007D113E">
        <w:rPr>
          <w:rFonts w:ascii="Calibri" w:eastAsia="PMingLiU" w:hAnsi="Calibri" w:cs="Calibri"/>
          <w:sz w:val="24"/>
          <w:szCs w:val="24"/>
          <w:lang w:val="en-US"/>
        </w:rPr>
        <w:t>西方学者提倡的东方学一样，但是仍然是以西方的眼光来述说并控制东方学说。</w:t>
      </w:r>
      <w:r w:rsidR="00E56BDB" w:rsidRPr="007D113E">
        <w:rPr>
          <w:rFonts w:ascii="Calibri" w:eastAsia="PMingLiU" w:hAnsi="Calibri" w:cs="Calibri"/>
          <w:sz w:val="24"/>
          <w:szCs w:val="24"/>
          <w:lang w:val="en-US"/>
        </w:rPr>
        <w:t>这东方式释经法从印度婆罗门传统入手，从这引致新约圣经</w:t>
      </w:r>
      <w:r w:rsidR="00A35743" w:rsidRPr="007D113E">
        <w:rPr>
          <w:rFonts w:ascii="Calibri" w:eastAsia="PMingLiU" w:hAnsi="Calibri" w:cs="Calibri"/>
          <w:sz w:val="24"/>
          <w:szCs w:val="24"/>
          <w:lang w:val="en-US"/>
        </w:rPr>
        <w:t>。</w:t>
      </w:r>
      <w:r w:rsidR="00E56BDB" w:rsidRPr="007D113E">
        <w:rPr>
          <w:rStyle w:val="EndnoteReference"/>
          <w:rFonts w:ascii="Calibri" w:eastAsia="PMingLiU" w:hAnsi="Calibri" w:cs="Calibri"/>
          <w:sz w:val="24"/>
          <w:szCs w:val="24"/>
          <w:lang w:val="en-US"/>
        </w:rPr>
        <w:endnoteReference w:id="2"/>
      </w:r>
    </w:p>
    <w:p w14:paraId="6C1A1E58" w14:textId="25D649D7" w:rsidR="00E56BDB" w:rsidRPr="007D113E" w:rsidRDefault="00E56BDB"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第二种就是西方的释经方法。这方法排斥当地的诠释方法。</w:t>
      </w:r>
    </w:p>
    <w:p w14:paraId="09FB81F2" w14:textId="01733533" w:rsidR="00E56BDB" w:rsidRPr="007D113E" w:rsidRDefault="00E56BDB"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第三种是</w:t>
      </w:r>
      <w:r w:rsidR="00637AB9" w:rsidRPr="007D113E">
        <w:rPr>
          <w:rFonts w:ascii="Calibri" w:eastAsia="PMingLiU" w:hAnsi="Calibri" w:cs="Calibri"/>
          <w:sz w:val="24"/>
          <w:szCs w:val="24"/>
          <w:lang w:val="en-US"/>
        </w:rPr>
        <w:t>民族释经法。当地人厌烦了西方或东方学术式释经，转向他们的民族解释文献的传统</w:t>
      </w:r>
      <w:r w:rsidR="00A35743" w:rsidRPr="007D113E">
        <w:rPr>
          <w:rFonts w:ascii="Calibri" w:eastAsia="PMingLiU" w:hAnsi="Calibri" w:cs="Calibri"/>
          <w:sz w:val="24"/>
          <w:szCs w:val="24"/>
          <w:lang w:val="en-US"/>
        </w:rPr>
        <w:t>。</w:t>
      </w:r>
      <w:r w:rsidR="00637AB9" w:rsidRPr="007D113E">
        <w:rPr>
          <w:rStyle w:val="EndnoteReference"/>
          <w:rFonts w:ascii="Calibri" w:eastAsia="PMingLiU" w:hAnsi="Calibri" w:cs="Calibri"/>
          <w:sz w:val="24"/>
          <w:szCs w:val="24"/>
          <w:lang w:val="en-US"/>
        </w:rPr>
        <w:endnoteReference w:id="3"/>
      </w:r>
    </w:p>
    <w:p w14:paraId="7E7E36EC" w14:textId="626FC3AF" w:rsidR="00637AB9" w:rsidRPr="007D113E" w:rsidRDefault="00637AB9"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bookmarkStart w:id="9" w:name="_Hlk193101609"/>
      <w:r w:rsidRPr="007D113E">
        <w:rPr>
          <w:rFonts w:ascii="Calibri" w:eastAsia="PMingLiU" w:hAnsi="Calibri" w:cs="Calibri"/>
          <w:sz w:val="24"/>
          <w:szCs w:val="24"/>
          <w:lang w:val="en-US"/>
        </w:rPr>
        <w:t>苏吉达拉扎</w:t>
      </w:r>
      <w:bookmarkEnd w:id="9"/>
      <w:r w:rsidRPr="007D113E">
        <w:rPr>
          <w:rFonts w:ascii="Calibri" w:eastAsia="PMingLiU" w:hAnsi="Calibri" w:cs="Calibri"/>
          <w:sz w:val="24"/>
          <w:szCs w:val="24"/>
          <w:lang w:val="en-US"/>
        </w:rPr>
        <w:t>提倡第四种方法，就是</w:t>
      </w:r>
      <w:bookmarkStart w:id="10" w:name="_Hlk193099786"/>
      <w:r w:rsidRPr="007D113E">
        <w:rPr>
          <w:rFonts w:ascii="Calibri" w:eastAsia="PMingLiU" w:hAnsi="Calibri" w:cs="Calibri"/>
          <w:sz w:val="24"/>
          <w:szCs w:val="24"/>
          <w:lang w:val="en-US"/>
        </w:rPr>
        <w:t>后殖民诠释方法</w:t>
      </w:r>
      <w:bookmarkEnd w:id="10"/>
      <w:r w:rsidRPr="007D113E">
        <w:rPr>
          <w:rFonts w:ascii="Calibri" w:eastAsia="PMingLiU" w:hAnsi="Calibri" w:cs="Calibri"/>
          <w:sz w:val="24"/>
          <w:szCs w:val="24"/>
          <w:lang w:val="en-US"/>
        </w:rPr>
        <w:t>。这方法拒绝西方的释经方法，因它是霸道西方的诠释方法</w:t>
      </w:r>
      <w:r w:rsidR="00A14334" w:rsidRPr="007D113E">
        <w:rPr>
          <w:rFonts w:ascii="Calibri" w:eastAsia="PMingLiU" w:hAnsi="Calibri" w:cs="Calibri"/>
          <w:sz w:val="24"/>
          <w:szCs w:val="24"/>
          <w:lang w:val="en-US"/>
        </w:rPr>
        <w:t>，并且是出自现代主义的客观世界观，加上宗教与学术霸权。后殖民诠释方法揭露这些帝国式前设与</w:t>
      </w:r>
      <w:r w:rsidR="007C3E37" w:rsidRPr="007D113E">
        <w:rPr>
          <w:rFonts w:ascii="Calibri" w:eastAsia="PMingLiU" w:hAnsi="Calibri" w:cs="Calibri"/>
          <w:sz w:val="24"/>
          <w:szCs w:val="24"/>
          <w:lang w:val="en-US"/>
        </w:rPr>
        <w:t>支配地位</w:t>
      </w:r>
      <w:r w:rsidR="007C3E37" w:rsidRPr="007D113E">
        <w:rPr>
          <w:rFonts w:ascii="Calibri" w:eastAsia="PMingLiU" w:hAnsi="Calibri" w:cs="Calibri"/>
          <w:sz w:val="24"/>
          <w:szCs w:val="24"/>
          <w:lang w:val="en-US"/>
        </w:rPr>
        <w:t xml:space="preserve"> (hegemony) </w:t>
      </w:r>
      <w:r w:rsidR="007C3E37" w:rsidRPr="007D113E">
        <w:rPr>
          <w:rFonts w:ascii="Calibri" w:eastAsia="PMingLiU" w:hAnsi="Calibri" w:cs="Calibri"/>
          <w:sz w:val="24"/>
          <w:szCs w:val="24"/>
          <w:lang w:val="en-US"/>
        </w:rPr>
        <w:t>，</w:t>
      </w:r>
      <w:r w:rsidR="0084093D" w:rsidRPr="007D113E">
        <w:rPr>
          <w:rFonts w:ascii="Calibri" w:eastAsia="PMingLiU" w:hAnsi="Calibri" w:cs="Calibri"/>
          <w:sz w:val="24"/>
          <w:szCs w:val="24"/>
          <w:lang w:val="en-US"/>
        </w:rPr>
        <w:t>发掘圣经的对霸权的抗议声音，表彰被遗弃群体的故事，例如妇女、少数群体、流散群体等。并将圣经与其他宗教的经典并列</w:t>
      </w:r>
      <w:r w:rsidR="00117DE5" w:rsidRPr="007D113E">
        <w:rPr>
          <w:rFonts w:ascii="Calibri" w:eastAsia="PMingLiU" w:hAnsi="Calibri" w:cs="Calibri"/>
          <w:sz w:val="24"/>
          <w:szCs w:val="24"/>
          <w:lang w:val="en-US"/>
        </w:rPr>
        <w:t>。</w:t>
      </w:r>
      <w:r w:rsidR="0042124A" w:rsidRPr="007D113E">
        <w:rPr>
          <w:rStyle w:val="EndnoteReference"/>
          <w:rFonts w:ascii="Calibri" w:eastAsia="PMingLiU" w:hAnsi="Calibri" w:cs="Calibri"/>
          <w:sz w:val="24"/>
          <w:szCs w:val="24"/>
          <w:lang w:val="en-US"/>
        </w:rPr>
        <w:endnoteReference w:id="4"/>
      </w:r>
    </w:p>
    <w:p w14:paraId="3FF2238E" w14:textId="165C6B89" w:rsidR="006B11EA" w:rsidRPr="007D113E" w:rsidRDefault="0042124A"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 xml:space="preserve">2. </w:t>
      </w:r>
      <w:r w:rsidRPr="007D113E">
        <w:rPr>
          <w:rFonts w:ascii="Calibri" w:eastAsia="PMingLiU" w:hAnsi="Calibri" w:cs="Calibri"/>
          <w:sz w:val="24"/>
          <w:szCs w:val="24"/>
          <w:lang w:val="en-US"/>
        </w:rPr>
        <w:t>向圣经的帝国传统挑战</w:t>
      </w:r>
    </w:p>
    <w:p w14:paraId="0528E12A" w14:textId="0AEC7588" w:rsidR="0042124A" w:rsidRPr="007D113E" w:rsidRDefault="0042124A"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苏吉达拉扎不单挑战西方诠释学，也向他认为是圣经的帝国传统挑战。圣经被西方用作征服世界的根基，合理化消灭当地文化传统与经济，例如殖民帝国时代的释经书</w:t>
      </w:r>
      <w:r w:rsidR="00731380" w:rsidRPr="007D113E">
        <w:rPr>
          <w:rFonts w:ascii="Calibri" w:eastAsia="PMingLiU" w:hAnsi="Calibri" w:cs="Calibri"/>
          <w:sz w:val="24"/>
          <w:szCs w:val="24"/>
          <w:lang w:val="en-US"/>
        </w:rPr>
        <w:t>贬低其他宗教为异教等</w:t>
      </w:r>
      <w:r w:rsidR="00117DE5" w:rsidRPr="007D113E">
        <w:rPr>
          <w:rFonts w:ascii="Calibri" w:eastAsia="PMingLiU" w:hAnsi="Calibri" w:cs="Calibri"/>
          <w:sz w:val="24"/>
          <w:szCs w:val="24"/>
          <w:lang w:val="en-US"/>
        </w:rPr>
        <w:t>。</w:t>
      </w:r>
      <w:r w:rsidR="00731380" w:rsidRPr="007D113E">
        <w:rPr>
          <w:rStyle w:val="EndnoteReference"/>
          <w:rFonts w:ascii="Calibri" w:eastAsia="PMingLiU" w:hAnsi="Calibri" w:cs="Calibri"/>
          <w:sz w:val="24"/>
          <w:szCs w:val="24"/>
          <w:lang w:val="en-US"/>
        </w:rPr>
        <w:endnoteReference w:id="5"/>
      </w:r>
      <w:r w:rsidR="00731380" w:rsidRPr="007D113E">
        <w:rPr>
          <w:rFonts w:ascii="Calibri" w:eastAsia="PMingLiU" w:hAnsi="Calibri" w:cs="Calibri"/>
          <w:sz w:val="24"/>
          <w:szCs w:val="24"/>
          <w:lang w:val="en-US"/>
        </w:rPr>
        <w:t>他指出其实很多圣经经文是针对殖民背景，例如在亚述、巴比伦、希腊帝国下的经文。这些经文揭露殖民帝国的霸权、前设与文化，并对这些的抗议，让无声的发声</w:t>
      </w:r>
      <w:r w:rsidR="00117DE5" w:rsidRPr="007D113E">
        <w:rPr>
          <w:rFonts w:ascii="Calibri" w:eastAsia="PMingLiU" w:hAnsi="Calibri" w:cs="Calibri"/>
          <w:sz w:val="24"/>
          <w:szCs w:val="24"/>
          <w:lang w:val="en-US"/>
        </w:rPr>
        <w:t>。</w:t>
      </w:r>
      <w:r w:rsidR="00B8256A" w:rsidRPr="007D113E">
        <w:rPr>
          <w:rStyle w:val="EndnoteReference"/>
          <w:rFonts w:ascii="Calibri" w:eastAsia="PMingLiU" w:hAnsi="Calibri" w:cs="Calibri"/>
          <w:sz w:val="24"/>
          <w:szCs w:val="24"/>
          <w:lang w:val="en-US"/>
        </w:rPr>
        <w:endnoteReference w:id="6"/>
      </w:r>
    </w:p>
    <w:p w14:paraId="1342724A" w14:textId="45DA5615" w:rsidR="00B8256A" w:rsidRPr="007D113E" w:rsidRDefault="00B8256A"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bookmarkStart w:id="11" w:name="_Hlk193112185"/>
      <w:r w:rsidRPr="007D113E">
        <w:rPr>
          <w:rFonts w:ascii="Calibri" w:eastAsia="PMingLiU" w:hAnsi="Calibri" w:cs="Calibri"/>
          <w:sz w:val="24"/>
          <w:szCs w:val="24"/>
          <w:lang w:val="en-US"/>
        </w:rPr>
        <w:t>苏吉达拉扎</w:t>
      </w:r>
      <w:bookmarkEnd w:id="11"/>
      <w:r w:rsidRPr="007D113E">
        <w:rPr>
          <w:rFonts w:ascii="Calibri" w:eastAsia="PMingLiU" w:hAnsi="Calibri" w:cs="Calibri"/>
          <w:sz w:val="24"/>
          <w:szCs w:val="24"/>
          <w:lang w:val="en-US"/>
        </w:rPr>
        <w:t>不接受圣经的绝对权威，把其他地方的文献与圣经并列，例如当地的神话、宗教文献等</w:t>
      </w:r>
      <w:r w:rsidR="00117DE5" w:rsidRPr="007D113E">
        <w:rPr>
          <w:rFonts w:ascii="Calibri" w:eastAsia="PMingLiU" w:hAnsi="Calibri" w:cs="Calibri"/>
          <w:sz w:val="24"/>
          <w:szCs w:val="24"/>
          <w:lang w:val="en-US"/>
        </w:rPr>
        <w:t>。</w:t>
      </w:r>
      <w:r w:rsidRPr="007D113E">
        <w:rPr>
          <w:rStyle w:val="EndnoteReference"/>
          <w:rFonts w:ascii="Calibri" w:eastAsia="PMingLiU" w:hAnsi="Calibri" w:cs="Calibri"/>
          <w:sz w:val="24"/>
          <w:szCs w:val="24"/>
          <w:lang w:val="en-US"/>
        </w:rPr>
        <w:endnoteReference w:id="7"/>
      </w:r>
    </w:p>
    <w:p w14:paraId="4CB37450" w14:textId="5F88786A" w:rsidR="002D5427" w:rsidRPr="007D113E" w:rsidRDefault="002D5427"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 xml:space="preserve">3. </w:t>
      </w:r>
      <w:r w:rsidRPr="007D113E">
        <w:rPr>
          <w:rFonts w:ascii="Calibri" w:eastAsia="PMingLiU" w:hAnsi="Calibri" w:cs="Calibri"/>
          <w:sz w:val="24"/>
          <w:szCs w:val="24"/>
          <w:lang w:val="en-US"/>
        </w:rPr>
        <w:t>跨文化诠释学</w:t>
      </w:r>
    </w:p>
    <w:p w14:paraId="05FF4BAD" w14:textId="53225ED2" w:rsidR="002D5427" w:rsidRPr="007D113E" w:rsidRDefault="002D5427"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苏吉达拉扎认为要有效跨文化诠释，圣经不是唯一的文本，其他文献也可以帮助</w:t>
      </w:r>
      <w:r w:rsidR="00117DE5" w:rsidRPr="007D113E">
        <w:rPr>
          <w:rFonts w:ascii="Calibri" w:eastAsia="PMingLiU" w:hAnsi="Calibri" w:cs="Calibri"/>
          <w:sz w:val="24"/>
          <w:szCs w:val="24"/>
          <w:lang w:val="en-US"/>
        </w:rPr>
        <w:t>。</w:t>
      </w:r>
      <w:r w:rsidRPr="007D113E">
        <w:rPr>
          <w:rStyle w:val="EndnoteReference"/>
          <w:rFonts w:ascii="Calibri" w:eastAsia="PMingLiU" w:hAnsi="Calibri" w:cs="Calibri"/>
          <w:sz w:val="24"/>
          <w:szCs w:val="24"/>
          <w:lang w:val="en-US"/>
        </w:rPr>
        <w:endnoteReference w:id="8"/>
      </w:r>
      <w:r w:rsidR="00117DE5">
        <w:rPr>
          <w:rFonts w:ascii="Calibri" w:eastAsia="PMingLiU" w:hAnsi="Calibri" w:cs="Calibri" w:hint="eastAsia"/>
          <w:sz w:val="24"/>
          <w:szCs w:val="24"/>
          <w:lang w:val="en-US"/>
        </w:rPr>
        <w:t xml:space="preserve"> </w:t>
      </w:r>
      <w:r w:rsidRPr="007D113E">
        <w:rPr>
          <w:rFonts w:ascii="Calibri" w:eastAsia="PMingLiU" w:hAnsi="Calibri" w:cs="Calibri"/>
          <w:sz w:val="24"/>
          <w:szCs w:val="24"/>
          <w:lang w:val="en-US"/>
        </w:rPr>
        <w:t>因为圣经不是启示神</w:t>
      </w:r>
      <w:r w:rsidR="00C60676" w:rsidRPr="007D113E">
        <w:rPr>
          <w:rFonts w:ascii="Calibri" w:eastAsia="PMingLiU" w:hAnsi="Calibri" w:cs="Calibri"/>
          <w:sz w:val="24"/>
          <w:szCs w:val="24"/>
          <w:lang w:val="en-US"/>
        </w:rPr>
        <w:t>和神的</w:t>
      </w:r>
      <w:r w:rsidRPr="007D113E">
        <w:rPr>
          <w:rFonts w:ascii="Calibri" w:eastAsia="PMingLiU" w:hAnsi="Calibri" w:cs="Calibri"/>
          <w:sz w:val="24"/>
          <w:szCs w:val="24"/>
          <w:lang w:val="en-US"/>
        </w:rPr>
        <w:t>的</w:t>
      </w:r>
      <w:r w:rsidR="00C60676" w:rsidRPr="007D113E">
        <w:rPr>
          <w:rFonts w:ascii="Calibri" w:eastAsia="PMingLiU" w:hAnsi="Calibri" w:cs="Calibri"/>
          <w:sz w:val="24"/>
          <w:szCs w:val="24"/>
          <w:lang w:val="en-US"/>
        </w:rPr>
        <w:t>拯救的唯一启示</w:t>
      </w:r>
      <w:r w:rsidR="00117DE5" w:rsidRPr="007D113E">
        <w:rPr>
          <w:rFonts w:ascii="Calibri" w:eastAsia="PMingLiU" w:hAnsi="Calibri" w:cs="Calibri"/>
          <w:sz w:val="24"/>
          <w:szCs w:val="24"/>
          <w:lang w:val="en-US"/>
        </w:rPr>
        <w:t>。</w:t>
      </w:r>
      <w:r w:rsidR="00C60676" w:rsidRPr="007D113E">
        <w:rPr>
          <w:rStyle w:val="EndnoteReference"/>
          <w:rFonts w:ascii="Calibri" w:eastAsia="PMingLiU" w:hAnsi="Calibri" w:cs="Calibri"/>
          <w:sz w:val="24"/>
          <w:szCs w:val="24"/>
          <w:lang w:val="en-US"/>
        </w:rPr>
        <w:endnoteReference w:id="9"/>
      </w:r>
      <w:r w:rsidR="00C60676" w:rsidRPr="007D113E">
        <w:rPr>
          <w:rFonts w:ascii="Calibri" w:eastAsia="PMingLiU" w:hAnsi="Calibri" w:cs="Calibri"/>
          <w:sz w:val="24"/>
          <w:szCs w:val="24"/>
          <w:lang w:val="en-US"/>
        </w:rPr>
        <w:t>耶稣基督不是唯一的救主。因此他鼓励主要世界的神学家用其他文献与诠释方法来整合基督教与当地宗教，形成亚洲或其他地区的神学</w:t>
      </w:r>
      <w:r w:rsidR="00117DE5" w:rsidRPr="007D113E">
        <w:rPr>
          <w:rFonts w:ascii="Calibri" w:eastAsia="PMingLiU" w:hAnsi="Calibri" w:cs="Calibri"/>
          <w:sz w:val="24"/>
          <w:szCs w:val="24"/>
          <w:lang w:val="en-US"/>
        </w:rPr>
        <w:t>。</w:t>
      </w:r>
      <w:r w:rsidR="00C60676" w:rsidRPr="007D113E">
        <w:rPr>
          <w:rStyle w:val="EndnoteReference"/>
          <w:rFonts w:ascii="Calibri" w:eastAsia="PMingLiU" w:hAnsi="Calibri" w:cs="Calibri"/>
          <w:sz w:val="24"/>
          <w:szCs w:val="24"/>
          <w:lang w:val="en-US"/>
        </w:rPr>
        <w:endnoteReference w:id="10"/>
      </w:r>
    </w:p>
    <w:p w14:paraId="449AC0D7" w14:textId="27B20058" w:rsidR="004617FD" w:rsidRPr="007D113E" w:rsidRDefault="004617FD"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lastRenderedPageBreak/>
        <w:t xml:space="preserve">4. </w:t>
      </w:r>
      <w:r w:rsidRPr="007D113E">
        <w:rPr>
          <w:rFonts w:ascii="Calibri" w:eastAsia="PMingLiU" w:hAnsi="Calibri" w:cs="Calibri"/>
          <w:sz w:val="24"/>
          <w:szCs w:val="24"/>
          <w:lang w:val="en-US"/>
        </w:rPr>
        <w:t>例子：</w:t>
      </w:r>
      <w:bookmarkStart w:id="12" w:name="_Hlk193113998"/>
      <w:r w:rsidRPr="007D113E">
        <w:rPr>
          <w:rFonts w:ascii="Calibri" w:eastAsia="PMingLiU" w:hAnsi="Calibri" w:cs="Calibri"/>
          <w:sz w:val="24"/>
          <w:szCs w:val="24"/>
          <w:lang w:val="en-US"/>
        </w:rPr>
        <w:t>约翰一</w:t>
      </w:r>
      <w:bookmarkEnd w:id="12"/>
      <w:r w:rsidRPr="007D113E">
        <w:rPr>
          <w:rFonts w:ascii="Calibri" w:eastAsia="PMingLiU" w:hAnsi="Calibri" w:cs="Calibri"/>
          <w:sz w:val="24"/>
          <w:szCs w:val="24"/>
          <w:lang w:val="en-US"/>
        </w:rPr>
        <w:t>至三书</w:t>
      </w:r>
    </w:p>
    <w:p w14:paraId="6091B73B" w14:textId="0204AA0D" w:rsidR="004617FD" w:rsidRPr="007D113E" w:rsidRDefault="004617FD"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bookmarkStart w:id="13" w:name="_Hlk193114872"/>
      <w:r w:rsidRPr="007D113E">
        <w:rPr>
          <w:rFonts w:ascii="Calibri" w:eastAsia="PMingLiU" w:hAnsi="Calibri" w:cs="Calibri"/>
          <w:sz w:val="24"/>
          <w:szCs w:val="24"/>
          <w:lang w:val="en-US"/>
        </w:rPr>
        <w:t>苏吉达拉扎</w:t>
      </w:r>
      <w:bookmarkEnd w:id="13"/>
      <w:r w:rsidRPr="007D113E">
        <w:rPr>
          <w:rFonts w:ascii="Calibri" w:eastAsia="PMingLiU" w:hAnsi="Calibri" w:cs="Calibri"/>
          <w:sz w:val="24"/>
          <w:szCs w:val="24"/>
          <w:lang w:val="en-US"/>
        </w:rPr>
        <w:t>认为作者用不同的诠释策略，但这些其实是有殖民企图的。第一是</w:t>
      </w:r>
      <w:r w:rsidR="00C613E6" w:rsidRPr="007D113E">
        <w:rPr>
          <w:rFonts w:ascii="Calibri" w:eastAsia="PMingLiU" w:hAnsi="Calibri" w:cs="Calibri"/>
          <w:sz w:val="24"/>
          <w:szCs w:val="24"/>
          <w:lang w:val="en-US"/>
        </w:rPr>
        <w:t>引用自己的权威</w:t>
      </w:r>
      <w:r w:rsidR="00C613E6" w:rsidRPr="007D113E">
        <w:rPr>
          <w:rFonts w:ascii="Calibri" w:eastAsia="PMingLiU" w:hAnsi="Calibri" w:cs="Calibri"/>
          <w:sz w:val="24"/>
          <w:szCs w:val="24"/>
          <w:lang w:val="en-US"/>
        </w:rPr>
        <w:t xml:space="preserve"> (</w:t>
      </w:r>
      <w:r w:rsidR="00C613E6" w:rsidRPr="007D113E">
        <w:rPr>
          <w:rFonts w:ascii="Calibri" w:eastAsia="PMingLiU" w:hAnsi="Calibri" w:cs="Calibri"/>
          <w:sz w:val="24"/>
          <w:szCs w:val="24"/>
          <w:lang w:val="en-US"/>
        </w:rPr>
        <w:t>约翰一书</w:t>
      </w:r>
      <w:r w:rsidR="00117DE5">
        <w:rPr>
          <w:rFonts w:ascii="Calibri" w:eastAsia="PMingLiU" w:hAnsi="Calibri" w:cs="Calibri" w:hint="eastAsia"/>
          <w:sz w:val="24"/>
          <w:szCs w:val="24"/>
          <w:lang w:val="en-US"/>
        </w:rPr>
        <w:t>一</w:t>
      </w:r>
      <w:r w:rsidR="00C613E6" w:rsidRPr="007D113E">
        <w:rPr>
          <w:rFonts w:ascii="Calibri" w:eastAsia="PMingLiU" w:hAnsi="Calibri" w:cs="Calibri"/>
          <w:sz w:val="24"/>
          <w:szCs w:val="24"/>
          <w:lang w:val="en-US"/>
        </w:rPr>
        <w:t>1-3)</w:t>
      </w:r>
      <w:r w:rsidR="00C613E6" w:rsidRPr="007D113E">
        <w:rPr>
          <w:rFonts w:ascii="Calibri" w:eastAsia="PMingLiU" w:hAnsi="Calibri" w:cs="Calibri"/>
          <w:sz w:val="24"/>
          <w:szCs w:val="24"/>
          <w:lang w:val="en-US"/>
        </w:rPr>
        <w:t>。第二是强调自己写作的权威</w:t>
      </w:r>
      <w:r w:rsidR="00C613E6" w:rsidRPr="007D113E">
        <w:rPr>
          <w:rFonts w:ascii="Calibri" w:eastAsia="PMingLiU" w:hAnsi="Calibri" w:cs="Calibri"/>
          <w:sz w:val="24"/>
          <w:szCs w:val="24"/>
          <w:lang w:val="en-US"/>
        </w:rPr>
        <w:t xml:space="preserve"> (</w:t>
      </w:r>
      <w:r w:rsidR="00C613E6" w:rsidRPr="007D113E">
        <w:rPr>
          <w:rFonts w:ascii="Calibri" w:eastAsia="PMingLiU" w:hAnsi="Calibri" w:cs="Calibri"/>
          <w:sz w:val="24"/>
          <w:szCs w:val="24"/>
          <w:lang w:val="en-US"/>
        </w:rPr>
        <w:t>约翰二书</w:t>
      </w:r>
      <w:r w:rsidR="00C613E6" w:rsidRPr="007D113E">
        <w:rPr>
          <w:rFonts w:ascii="Calibri" w:eastAsia="PMingLiU" w:hAnsi="Calibri" w:cs="Calibri"/>
          <w:sz w:val="24"/>
          <w:szCs w:val="24"/>
          <w:lang w:val="en-US"/>
        </w:rPr>
        <w:t>9-11)</w:t>
      </w:r>
      <w:r w:rsidR="00C613E6" w:rsidRPr="007D113E">
        <w:rPr>
          <w:rFonts w:ascii="Calibri" w:eastAsia="PMingLiU" w:hAnsi="Calibri" w:cs="Calibri"/>
          <w:sz w:val="24"/>
          <w:szCs w:val="24"/>
          <w:lang w:val="en-US"/>
        </w:rPr>
        <w:t>。第三是称呼支持自己观点的人为神的子民</w:t>
      </w:r>
      <w:r w:rsidR="00C613E6" w:rsidRPr="007D113E">
        <w:rPr>
          <w:rFonts w:ascii="Calibri" w:eastAsia="PMingLiU" w:hAnsi="Calibri" w:cs="Calibri"/>
          <w:sz w:val="24"/>
          <w:szCs w:val="24"/>
          <w:lang w:val="en-US"/>
        </w:rPr>
        <w:t xml:space="preserve"> </w:t>
      </w:r>
      <w:bookmarkStart w:id="14" w:name="_Hlk193114363"/>
      <w:r w:rsidR="00C613E6" w:rsidRPr="007D113E">
        <w:rPr>
          <w:rFonts w:ascii="Calibri" w:eastAsia="PMingLiU" w:hAnsi="Calibri" w:cs="Calibri"/>
          <w:sz w:val="24"/>
          <w:szCs w:val="24"/>
          <w:lang w:val="en-US"/>
        </w:rPr>
        <w:t>(</w:t>
      </w:r>
      <w:r w:rsidR="00C613E6" w:rsidRPr="007D113E">
        <w:rPr>
          <w:rFonts w:ascii="Calibri" w:eastAsia="PMingLiU" w:hAnsi="Calibri" w:cs="Calibri"/>
          <w:sz w:val="24"/>
          <w:szCs w:val="24"/>
          <w:lang w:val="en-US"/>
        </w:rPr>
        <w:t>约翰一书</w:t>
      </w:r>
      <w:r w:rsidR="00C613E6" w:rsidRPr="007D113E">
        <w:rPr>
          <w:rFonts w:ascii="Calibri" w:eastAsia="PMingLiU" w:hAnsi="Calibri" w:cs="Calibri"/>
          <w:sz w:val="24"/>
          <w:szCs w:val="24"/>
          <w:lang w:val="en-US"/>
        </w:rPr>
        <w:t>4:6)</w:t>
      </w:r>
      <w:r w:rsidR="00C613E6" w:rsidRPr="007D113E">
        <w:rPr>
          <w:rFonts w:ascii="Calibri" w:eastAsia="PMingLiU" w:hAnsi="Calibri" w:cs="Calibri"/>
          <w:sz w:val="24"/>
          <w:szCs w:val="24"/>
          <w:lang w:val="en-US"/>
        </w:rPr>
        <w:t>。</w:t>
      </w:r>
      <w:bookmarkEnd w:id="14"/>
      <w:r w:rsidR="00C613E6" w:rsidRPr="007D113E">
        <w:rPr>
          <w:rFonts w:ascii="Calibri" w:eastAsia="PMingLiU" w:hAnsi="Calibri" w:cs="Calibri"/>
          <w:sz w:val="24"/>
          <w:szCs w:val="24"/>
          <w:lang w:val="en-US"/>
        </w:rPr>
        <w:t>第四是形容帝王的基督</w:t>
      </w:r>
      <w:r w:rsidR="00C613E6" w:rsidRPr="007D113E">
        <w:rPr>
          <w:rFonts w:ascii="Calibri" w:eastAsia="PMingLiU" w:hAnsi="Calibri" w:cs="Calibri"/>
          <w:sz w:val="24"/>
          <w:szCs w:val="24"/>
          <w:lang w:val="en-US"/>
        </w:rPr>
        <w:t>(</w:t>
      </w:r>
      <w:r w:rsidR="00C613E6" w:rsidRPr="007D113E">
        <w:rPr>
          <w:rFonts w:ascii="Calibri" w:eastAsia="PMingLiU" w:hAnsi="Calibri" w:cs="Calibri"/>
          <w:sz w:val="24"/>
          <w:szCs w:val="24"/>
          <w:lang w:val="en-US"/>
        </w:rPr>
        <w:t>约翰一书</w:t>
      </w:r>
      <w:r w:rsidR="00117DE5">
        <w:rPr>
          <w:rFonts w:ascii="Calibri" w:eastAsia="PMingLiU" w:hAnsi="Calibri" w:cs="Calibri" w:hint="eastAsia"/>
          <w:sz w:val="24"/>
          <w:szCs w:val="24"/>
          <w:lang w:val="en-US"/>
        </w:rPr>
        <w:t>四</w:t>
      </w:r>
      <w:r w:rsidR="00C613E6" w:rsidRPr="007D113E">
        <w:rPr>
          <w:rFonts w:ascii="Calibri" w:eastAsia="PMingLiU" w:hAnsi="Calibri" w:cs="Calibri"/>
          <w:sz w:val="24"/>
          <w:szCs w:val="24"/>
          <w:lang w:val="en-US"/>
        </w:rPr>
        <w:t>14)</w:t>
      </w:r>
      <w:r w:rsidR="00C613E6" w:rsidRPr="007D113E">
        <w:rPr>
          <w:rFonts w:ascii="Calibri" w:eastAsia="PMingLiU" w:hAnsi="Calibri" w:cs="Calibri"/>
          <w:sz w:val="24"/>
          <w:szCs w:val="24"/>
          <w:lang w:val="en-US"/>
        </w:rPr>
        <w:t>。第五是不款待异己</w:t>
      </w:r>
      <w:r w:rsidR="00C613E6" w:rsidRPr="007D113E">
        <w:rPr>
          <w:rFonts w:ascii="Calibri" w:eastAsia="PMingLiU" w:hAnsi="Calibri" w:cs="Calibri"/>
          <w:sz w:val="24"/>
          <w:szCs w:val="24"/>
          <w:lang w:val="en-US"/>
        </w:rPr>
        <w:t xml:space="preserve"> (</w:t>
      </w:r>
      <w:r w:rsidR="00C613E6" w:rsidRPr="007D113E">
        <w:rPr>
          <w:rFonts w:ascii="Calibri" w:eastAsia="PMingLiU" w:hAnsi="Calibri" w:cs="Calibri"/>
          <w:sz w:val="24"/>
          <w:szCs w:val="24"/>
          <w:lang w:val="en-US"/>
        </w:rPr>
        <w:t>约翰二书</w:t>
      </w:r>
      <w:r w:rsidR="00C613E6" w:rsidRPr="007D113E">
        <w:rPr>
          <w:rFonts w:ascii="Calibri" w:eastAsia="PMingLiU" w:hAnsi="Calibri" w:cs="Calibri"/>
          <w:sz w:val="24"/>
          <w:szCs w:val="24"/>
          <w:lang w:val="en-US"/>
        </w:rPr>
        <w:t>10)</w:t>
      </w:r>
      <w:r w:rsidR="00C613E6" w:rsidRPr="007D113E">
        <w:rPr>
          <w:rFonts w:ascii="Calibri" w:eastAsia="PMingLiU" w:hAnsi="Calibri" w:cs="Calibri"/>
          <w:sz w:val="24"/>
          <w:szCs w:val="24"/>
          <w:lang w:val="en-US"/>
        </w:rPr>
        <w:t>。第六是</w:t>
      </w:r>
      <w:r w:rsidR="00B021B6" w:rsidRPr="007D113E">
        <w:rPr>
          <w:rFonts w:ascii="Calibri" w:eastAsia="PMingLiU" w:hAnsi="Calibri" w:cs="Calibri"/>
          <w:sz w:val="24"/>
          <w:szCs w:val="24"/>
          <w:lang w:val="en-US"/>
        </w:rPr>
        <w:t>用分裂群体的修辞</w:t>
      </w:r>
      <w:r w:rsidR="00B021B6" w:rsidRPr="007D113E">
        <w:rPr>
          <w:rFonts w:ascii="Calibri" w:eastAsia="PMingLiU" w:hAnsi="Calibri" w:cs="Calibri"/>
          <w:sz w:val="24"/>
          <w:szCs w:val="24"/>
          <w:lang w:val="en-US"/>
        </w:rPr>
        <w:t xml:space="preserve"> (</w:t>
      </w:r>
      <w:r w:rsidR="00B021B6" w:rsidRPr="007D113E">
        <w:rPr>
          <w:rFonts w:ascii="Calibri" w:eastAsia="PMingLiU" w:hAnsi="Calibri" w:cs="Calibri"/>
          <w:sz w:val="24"/>
          <w:szCs w:val="24"/>
          <w:lang w:val="en-US"/>
        </w:rPr>
        <w:t>约翰一书</w:t>
      </w:r>
      <w:r w:rsidR="00117DE5">
        <w:rPr>
          <w:rFonts w:ascii="Calibri" w:eastAsia="PMingLiU" w:hAnsi="Calibri" w:cs="Calibri" w:hint="eastAsia"/>
          <w:sz w:val="24"/>
          <w:szCs w:val="24"/>
          <w:lang w:val="en-US"/>
        </w:rPr>
        <w:t>四</w:t>
      </w:r>
      <w:r w:rsidR="00B021B6" w:rsidRPr="007D113E">
        <w:rPr>
          <w:rFonts w:ascii="Calibri" w:eastAsia="PMingLiU" w:hAnsi="Calibri" w:cs="Calibri"/>
          <w:sz w:val="24"/>
          <w:szCs w:val="24"/>
          <w:lang w:val="en-US"/>
        </w:rPr>
        <w:t>4)</w:t>
      </w:r>
      <w:r w:rsidR="00117DE5" w:rsidRPr="00117DE5">
        <w:rPr>
          <w:rFonts w:ascii="Calibri" w:eastAsia="PMingLiU" w:hAnsi="Calibri" w:cs="Calibri"/>
          <w:sz w:val="24"/>
          <w:szCs w:val="24"/>
          <w:lang w:val="en-US"/>
        </w:rPr>
        <w:t xml:space="preserve"> </w:t>
      </w:r>
      <w:r w:rsidR="00117DE5" w:rsidRPr="007D113E">
        <w:rPr>
          <w:rFonts w:ascii="Calibri" w:eastAsia="PMingLiU" w:hAnsi="Calibri" w:cs="Calibri"/>
          <w:sz w:val="24"/>
          <w:szCs w:val="24"/>
          <w:lang w:val="en-US"/>
        </w:rPr>
        <w:t>。</w:t>
      </w:r>
      <w:r w:rsidR="00B021B6" w:rsidRPr="007D113E">
        <w:rPr>
          <w:rStyle w:val="EndnoteReference"/>
          <w:rFonts w:ascii="Calibri" w:eastAsia="PMingLiU" w:hAnsi="Calibri" w:cs="Calibri"/>
          <w:sz w:val="24"/>
          <w:szCs w:val="24"/>
          <w:lang w:val="en-US"/>
        </w:rPr>
        <w:endnoteReference w:id="11"/>
      </w:r>
    </w:p>
    <w:p w14:paraId="7097AB6F" w14:textId="0D22202B" w:rsidR="00B021B6" w:rsidRPr="007D113E" w:rsidRDefault="00B021B6"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 xml:space="preserve">5. </w:t>
      </w:r>
      <w:r w:rsidRPr="007D113E">
        <w:rPr>
          <w:rFonts w:ascii="Calibri" w:eastAsia="PMingLiU" w:hAnsi="Calibri" w:cs="Calibri"/>
          <w:sz w:val="24"/>
          <w:szCs w:val="24"/>
          <w:lang w:val="en-US"/>
        </w:rPr>
        <w:t>评语</w:t>
      </w:r>
    </w:p>
    <w:p w14:paraId="2BE80AFE" w14:textId="2EE9A2AB" w:rsidR="00B021B6" w:rsidRPr="007D113E" w:rsidRDefault="00B021B6"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首先，</w:t>
      </w:r>
      <w:bookmarkStart w:id="16" w:name="_Hlk193115329"/>
      <w:r w:rsidRPr="007D113E">
        <w:rPr>
          <w:rFonts w:ascii="Calibri" w:eastAsia="PMingLiU" w:hAnsi="Calibri" w:cs="Calibri"/>
          <w:sz w:val="24"/>
          <w:szCs w:val="24"/>
          <w:lang w:val="en-US"/>
        </w:rPr>
        <w:t>苏吉达拉扎</w:t>
      </w:r>
      <w:bookmarkEnd w:id="16"/>
      <w:r w:rsidRPr="007D113E">
        <w:rPr>
          <w:rFonts w:ascii="Calibri" w:eastAsia="PMingLiU" w:hAnsi="Calibri" w:cs="Calibri"/>
          <w:sz w:val="24"/>
          <w:szCs w:val="24"/>
          <w:lang w:val="en-US"/>
        </w:rPr>
        <w:t>的神学与诠释学不是福音派的。他不接受耶稣基督是唯一救主</w:t>
      </w:r>
      <w:r w:rsidR="00730A7C" w:rsidRPr="007D113E">
        <w:rPr>
          <w:rFonts w:ascii="Calibri" w:eastAsia="PMingLiU" w:hAnsi="Calibri" w:cs="Calibri"/>
          <w:sz w:val="24"/>
          <w:szCs w:val="24"/>
          <w:lang w:val="en-US"/>
        </w:rPr>
        <w:t>、</w:t>
      </w:r>
      <w:r w:rsidRPr="007D113E">
        <w:rPr>
          <w:rFonts w:ascii="Calibri" w:eastAsia="PMingLiU" w:hAnsi="Calibri" w:cs="Calibri"/>
          <w:sz w:val="24"/>
          <w:szCs w:val="24"/>
          <w:lang w:val="en-US"/>
        </w:rPr>
        <w:t>圣经</w:t>
      </w:r>
      <w:r w:rsidR="00730A7C" w:rsidRPr="007D113E">
        <w:rPr>
          <w:rFonts w:ascii="Calibri" w:eastAsia="PMingLiU" w:hAnsi="Calibri" w:cs="Calibri"/>
          <w:sz w:val="24"/>
          <w:szCs w:val="24"/>
          <w:lang w:val="en-US"/>
        </w:rPr>
        <w:t>不是</w:t>
      </w:r>
      <w:r w:rsidRPr="007D113E">
        <w:rPr>
          <w:rFonts w:ascii="Calibri" w:eastAsia="PMingLiU" w:hAnsi="Calibri" w:cs="Calibri"/>
          <w:sz w:val="24"/>
          <w:szCs w:val="24"/>
          <w:lang w:val="en-US"/>
        </w:rPr>
        <w:t>最终权威。面对其他宗教的文献时，可以</w:t>
      </w:r>
      <w:r w:rsidR="00730A7C" w:rsidRPr="007D113E">
        <w:rPr>
          <w:rFonts w:ascii="Calibri" w:eastAsia="PMingLiU" w:hAnsi="Calibri" w:cs="Calibri"/>
          <w:sz w:val="24"/>
          <w:szCs w:val="24"/>
          <w:lang w:val="en-US"/>
        </w:rPr>
        <w:t>接受</w:t>
      </w:r>
      <w:r w:rsidRPr="007D113E">
        <w:rPr>
          <w:rFonts w:ascii="Calibri" w:eastAsia="PMingLiU" w:hAnsi="Calibri" w:cs="Calibri"/>
          <w:sz w:val="24"/>
          <w:szCs w:val="24"/>
          <w:lang w:val="en-US"/>
        </w:rPr>
        <w:t>它们为启示。</w:t>
      </w:r>
      <w:r w:rsidR="00730A7C" w:rsidRPr="007D113E">
        <w:rPr>
          <w:rFonts w:ascii="Calibri" w:eastAsia="PMingLiU" w:hAnsi="Calibri" w:cs="Calibri"/>
          <w:sz w:val="24"/>
          <w:szCs w:val="24"/>
          <w:lang w:val="en-US"/>
        </w:rPr>
        <w:t>这样在多元宗教的社会中，基督教只不过是宗教之一。因为这样，他的释经不接受排外的经文</w:t>
      </w:r>
      <w:r w:rsidR="00A763CB" w:rsidRPr="007D113E">
        <w:rPr>
          <w:rFonts w:ascii="Calibri" w:eastAsia="PMingLiU" w:hAnsi="Calibri" w:cs="Calibri"/>
          <w:sz w:val="24"/>
          <w:szCs w:val="24"/>
          <w:lang w:val="en-US"/>
        </w:rPr>
        <w:t>，从以上解释约翰一至三书时便可以看到。</w:t>
      </w:r>
    </w:p>
    <w:p w14:paraId="6909EC0E" w14:textId="03B08624" w:rsidR="00730A7C" w:rsidRPr="007D113E" w:rsidRDefault="00730A7C"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其次，</w:t>
      </w:r>
      <w:bookmarkStart w:id="17" w:name="_Hlk193165868"/>
      <w:r w:rsidRPr="007D113E">
        <w:rPr>
          <w:rFonts w:ascii="Calibri" w:eastAsia="PMingLiU" w:hAnsi="Calibri" w:cs="Calibri"/>
          <w:sz w:val="24"/>
          <w:szCs w:val="24"/>
          <w:lang w:val="en-US"/>
        </w:rPr>
        <w:t>苏吉达拉扎的诠释</w:t>
      </w:r>
      <w:bookmarkEnd w:id="17"/>
      <w:r w:rsidRPr="007D113E">
        <w:rPr>
          <w:rFonts w:ascii="Calibri" w:eastAsia="PMingLiU" w:hAnsi="Calibri" w:cs="Calibri"/>
          <w:sz w:val="24"/>
          <w:szCs w:val="24"/>
          <w:lang w:val="en-US"/>
        </w:rPr>
        <w:t>是过分处境化，所</w:t>
      </w:r>
      <w:r w:rsidR="00147DF7" w:rsidRPr="007D113E">
        <w:rPr>
          <w:rFonts w:ascii="Calibri" w:eastAsia="PMingLiU" w:hAnsi="Calibri" w:cs="Calibri"/>
          <w:sz w:val="24"/>
          <w:szCs w:val="24"/>
          <w:lang w:val="en-US"/>
        </w:rPr>
        <w:t>以</w:t>
      </w:r>
      <w:r w:rsidRPr="007D113E">
        <w:rPr>
          <w:rFonts w:ascii="Calibri" w:eastAsia="PMingLiU" w:hAnsi="Calibri" w:cs="Calibri"/>
          <w:sz w:val="24"/>
          <w:szCs w:val="24"/>
          <w:lang w:val="en-US"/>
        </w:rPr>
        <w:t>可以容纳其他宗教。宗教信仰失去可靠性，成为相对的信仰</w:t>
      </w:r>
      <w:r w:rsidR="00117DE5" w:rsidRPr="007D113E">
        <w:rPr>
          <w:rFonts w:ascii="Calibri" w:eastAsia="PMingLiU" w:hAnsi="Calibri" w:cs="Calibri"/>
          <w:sz w:val="24"/>
          <w:szCs w:val="24"/>
          <w:lang w:val="en-US"/>
        </w:rPr>
        <w:t>。</w:t>
      </w:r>
      <w:r w:rsidRPr="007D113E">
        <w:rPr>
          <w:rStyle w:val="EndnoteReference"/>
          <w:rFonts w:ascii="Calibri" w:eastAsia="PMingLiU" w:hAnsi="Calibri" w:cs="Calibri"/>
          <w:sz w:val="24"/>
          <w:szCs w:val="24"/>
          <w:lang w:val="en-US"/>
        </w:rPr>
        <w:endnoteReference w:id="12"/>
      </w:r>
    </w:p>
    <w:p w14:paraId="63F78A6C" w14:textId="0B875827" w:rsidR="00147DF7" w:rsidRPr="007D113E" w:rsidRDefault="00147DF7" w:rsidP="00A35743">
      <w:pPr>
        <w:spacing w:line="360" w:lineRule="auto"/>
        <w:jc w:val="both"/>
        <w:rPr>
          <w:rFonts w:ascii="Calibri" w:eastAsia="PMingLiU" w:hAnsi="Calibri" w:cs="Calibri"/>
          <w:sz w:val="24"/>
          <w:szCs w:val="24"/>
          <w:lang w:val="en-US"/>
        </w:rPr>
      </w:pPr>
      <w:r w:rsidRPr="007D113E">
        <w:rPr>
          <w:rFonts w:ascii="Calibri" w:eastAsia="PMingLiU" w:hAnsi="Calibri" w:cs="Calibri"/>
          <w:sz w:val="24"/>
          <w:szCs w:val="24"/>
          <w:lang w:val="en-US"/>
        </w:rPr>
        <w:tab/>
      </w:r>
      <w:r w:rsidRPr="007D113E">
        <w:rPr>
          <w:rFonts w:ascii="Calibri" w:eastAsia="PMingLiU" w:hAnsi="Calibri" w:cs="Calibri"/>
          <w:sz w:val="24"/>
          <w:szCs w:val="24"/>
          <w:lang w:val="en-US"/>
        </w:rPr>
        <w:t>总括来说，苏吉达拉扎的诠释不符合福音派着重圣经的最终权威性，所以不能接受。但是他的论说仍有可取的地方，包括针对西方神学和诠释学的霸道，圣经对殖民主义的批判，与在跨文化释经时适当的采用当地的文献等。</w:t>
      </w:r>
    </w:p>
    <w:p w14:paraId="01A3A014" w14:textId="07635F14" w:rsidR="00AA0F18" w:rsidRPr="007D113E" w:rsidRDefault="000F71D2" w:rsidP="00A35743">
      <w:pPr>
        <w:spacing w:line="360" w:lineRule="auto"/>
        <w:jc w:val="both"/>
        <w:rPr>
          <w:rFonts w:ascii="Calibri" w:eastAsia="PMingLiU" w:hAnsi="Calibri" w:cs="Calibri"/>
          <w:b/>
          <w:bCs/>
          <w:sz w:val="24"/>
          <w:szCs w:val="24"/>
        </w:rPr>
      </w:pPr>
      <w:r w:rsidRPr="007D113E">
        <w:rPr>
          <w:rFonts w:ascii="Calibri" w:eastAsia="PMingLiU" w:hAnsi="Calibri" w:cs="Calibri"/>
          <w:b/>
          <w:bCs/>
          <w:sz w:val="24"/>
          <w:szCs w:val="24"/>
          <w:lang w:val="en-US"/>
        </w:rPr>
        <w:t>二</w:t>
      </w:r>
      <w:r w:rsidRPr="007D113E">
        <w:rPr>
          <w:rFonts w:ascii="Calibri" w:eastAsia="PMingLiU" w:hAnsi="Calibri" w:cs="Calibri"/>
          <w:b/>
          <w:bCs/>
          <w:sz w:val="24"/>
          <w:szCs w:val="24"/>
          <w:lang w:val="en-US"/>
        </w:rPr>
        <w:t xml:space="preserve">. </w:t>
      </w:r>
      <w:proofErr w:type="spellStart"/>
      <w:r w:rsidR="00CA02FB" w:rsidRPr="007D113E">
        <w:rPr>
          <w:rFonts w:ascii="Calibri" w:eastAsia="PMingLiU" w:hAnsi="Calibri" w:cs="Calibri"/>
          <w:b/>
          <w:bCs/>
          <w:sz w:val="24"/>
          <w:szCs w:val="24"/>
          <w:lang w:val="en-US"/>
        </w:rPr>
        <w:t>Khiok-khng</w:t>
      </w:r>
      <w:proofErr w:type="spellEnd"/>
      <w:r w:rsidR="00CA02FB" w:rsidRPr="007D113E">
        <w:rPr>
          <w:rFonts w:ascii="Calibri" w:eastAsia="PMingLiU" w:hAnsi="Calibri" w:cs="Calibri"/>
          <w:b/>
          <w:bCs/>
          <w:sz w:val="24"/>
          <w:szCs w:val="24"/>
          <w:lang w:val="en-US"/>
        </w:rPr>
        <w:t xml:space="preserve"> Yeo</w:t>
      </w:r>
      <w:r w:rsidR="004457AB" w:rsidRPr="007D113E">
        <w:rPr>
          <w:rFonts w:ascii="Calibri" w:eastAsia="PMingLiU" w:hAnsi="Calibri" w:cs="Calibri"/>
          <w:b/>
          <w:bCs/>
          <w:sz w:val="24"/>
          <w:szCs w:val="24"/>
          <w:lang w:val="en-US"/>
        </w:rPr>
        <w:t xml:space="preserve"> </w:t>
      </w:r>
      <w:bookmarkStart w:id="18" w:name="_Hlk193183784"/>
      <w:r w:rsidR="004457AB" w:rsidRPr="007D113E">
        <w:rPr>
          <w:rFonts w:ascii="Calibri" w:eastAsia="PMingLiU" w:hAnsi="Calibri" w:cs="Calibri"/>
          <w:b/>
          <w:bCs/>
          <w:sz w:val="24"/>
          <w:szCs w:val="24"/>
        </w:rPr>
        <w:t>杨克勤</w:t>
      </w:r>
    </w:p>
    <w:bookmarkEnd w:id="18"/>
    <w:p w14:paraId="50B93CF4" w14:textId="140B6B3A" w:rsidR="000F71D2" w:rsidRPr="007D113E" w:rsidRDefault="000F71D2" w:rsidP="00A35743">
      <w:pPr>
        <w:spacing w:line="360" w:lineRule="auto"/>
        <w:ind w:firstLine="720"/>
        <w:jc w:val="both"/>
        <w:rPr>
          <w:rFonts w:ascii="Calibri" w:eastAsia="PMingLiU" w:hAnsi="Calibri" w:cs="Calibri"/>
          <w:sz w:val="24"/>
          <w:szCs w:val="24"/>
        </w:rPr>
      </w:pPr>
      <w:r w:rsidRPr="007D113E">
        <w:rPr>
          <w:rFonts w:ascii="Calibri" w:eastAsia="PMingLiU" w:hAnsi="Calibri" w:cs="Calibri"/>
          <w:sz w:val="24"/>
          <w:szCs w:val="24"/>
        </w:rPr>
        <w:t>第二位是</w:t>
      </w:r>
      <w:bookmarkStart w:id="19" w:name="_Hlk193192038"/>
      <w:r w:rsidRPr="007D113E">
        <w:rPr>
          <w:rFonts w:ascii="Calibri" w:eastAsia="PMingLiU" w:hAnsi="Calibri" w:cs="Calibri"/>
          <w:sz w:val="24"/>
          <w:szCs w:val="24"/>
        </w:rPr>
        <w:t>杨克勤</w:t>
      </w:r>
      <w:bookmarkEnd w:id="19"/>
      <w:r w:rsidRPr="007D113E">
        <w:rPr>
          <w:rFonts w:ascii="Calibri" w:eastAsia="PMingLiU" w:hAnsi="Calibri" w:cs="Calibri"/>
          <w:sz w:val="24"/>
          <w:szCs w:val="24"/>
        </w:rPr>
        <w:t>，马来西亚华人。留学于美国，现在任教于美国神学院。他是有名的新约学者，</w:t>
      </w:r>
      <w:r w:rsidR="007009AC" w:rsidRPr="007D113E">
        <w:rPr>
          <w:rFonts w:ascii="Calibri" w:eastAsia="PMingLiU" w:hAnsi="Calibri" w:cs="Calibri"/>
          <w:sz w:val="24"/>
          <w:szCs w:val="24"/>
        </w:rPr>
        <w:t>专长于跨文化诠释学与地方神学</w:t>
      </w:r>
      <w:r w:rsidR="007009AC" w:rsidRPr="007D113E">
        <w:rPr>
          <w:rFonts w:ascii="Calibri" w:eastAsia="PMingLiU" w:hAnsi="Calibri" w:cs="Calibri"/>
          <w:sz w:val="24"/>
          <w:szCs w:val="24"/>
        </w:rPr>
        <w:t xml:space="preserve"> (local theology)</w:t>
      </w:r>
      <w:r w:rsidR="007009AC" w:rsidRPr="007D113E">
        <w:rPr>
          <w:rFonts w:ascii="Calibri" w:eastAsia="PMingLiU" w:hAnsi="Calibri" w:cs="Calibri"/>
          <w:sz w:val="24"/>
          <w:szCs w:val="24"/>
        </w:rPr>
        <w:t>。因此在这里介绍他在这两方面的写作。</w:t>
      </w:r>
    </w:p>
    <w:p w14:paraId="1E5647CD" w14:textId="5DAE701A" w:rsidR="007009AC" w:rsidRPr="007D113E" w:rsidRDefault="007009AC"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 xml:space="preserve">1. </w:t>
      </w:r>
      <w:r w:rsidRPr="007D113E">
        <w:rPr>
          <w:rFonts w:ascii="Calibri" w:eastAsia="PMingLiU" w:hAnsi="Calibri" w:cs="Calibri"/>
          <w:sz w:val="24"/>
          <w:szCs w:val="24"/>
        </w:rPr>
        <w:t>中国基督教神学</w:t>
      </w:r>
    </w:p>
    <w:p w14:paraId="6E068E6B" w14:textId="274F29B4" w:rsidR="007F7D6B" w:rsidRPr="007D113E" w:rsidRDefault="007F7D6B"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ab/>
      </w:r>
      <w:bookmarkStart w:id="20" w:name="_Hlk193194382"/>
      <w:r w:rsidRPr="007D113E">
        <w:rPr>
          <w:rFonts w:ascii="Calibri" w:eastAsia="PMingLiU" w:hAnsi="Calibri" w:cs="Calibri"/>
          <w:sz w:val="24"/>
          <w:szCs w:val="24"/>
        </w:rPr>
        <w:t>杨克勤</w:t>
      </w:r>
      <w:bookmarkEnd w:id="20"/>
      <w:r w:rsidRPr="007D113E">
        <w:rPr>
          <w:rFonts w:ascii="Calibri" w:eastAsia="PMingLiU" w:hAnsi="Calibri" w:cs="Calibri"/>
          <w:sz w:val="24"/>
          <w:szCs w:val="24"/>
        </w:rPr>
        <w:t>写了一本书，是尝试</w:t>
      </w:r>
      <w:r w:rsidR="00932E13" w:rsidRPr="007D113E">
        <w:rPr>
          <w:rFonts w:ascii="Calibri" w:eastAsia="PMingLiU" w:hAnsi="Calibri" w:cs="Calibri"/>
          <w:sz w:val="24"/>
          <w:szCs w:val="24"/>
        </w:rPr>
        <w:t>调和拼合孔子与保罗来形成一个中国基督教神学。孔子方面采用论语，保罗方面采用加拉太书。</w:t>
      </w:r>
    </w:p>
    <w:p w14:paraId="465CEBD7" w14:textId="7C0CF563" w:rsidR="00932E13" w:rsidRPr="007D113E" w:rsidRDefault="00932E13"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ab/>
      </w:r>
      <w:r w:rsidRPr="007D113E">
        <w:rPr>
          <w:rFonts w:ascii="Calibri" w:eastAsia="PMingLiU" w:hAnsi="Calibri" w:cs="Calibri"/>
          <w:sz w:val="24"/>
          <w:szCs w:val="24"/>
        </w:rPr>
        <w:t>论语的学说中心是人类是善良，栽培道德可以使人和谐</w:t>
      </w:r>
      <w:r w:rsidR="00C24A94" w:rsidRPr="007D113E">
        <w:rPr>
          <w:rFonts w:ascii="Calibri" w:eastAsia="PMingLiU" w:hAnsi="Calibri" w:cs="Calibri"/>
          <w:sz w:val="24"/>
          <w:szCs w:val="24"/>
        </w:rPr>
        <w:t>的</w:t>
      </w:r>
      <w:r w:rsidRPr="007D113E">
        <w:rPr>
          <w:rFonts w:ascii="Calibri" w:eastAsia="PMingLiU" w:hAnsi="Calibri" w:cs="Calibri"/>
          <w:sz w:val="24"/>
          <w:szCs w:val="24"/>
        </w:rPr>
        <w:t>生活在一个充满相异和暴力的世界。在加拉太书保留维护他的福音信息，就是外邦人不需要遵守律法也可以成为神</w:t>
      </w:r>
      <w:r w:rsidRPr="007D113E">
        <w:rPr>
          <w:rFonts w:ascii="Calibri" w:eastAsia="PMingLiU" w:hAnsi="Calibri" w:cs="Calibri"/>
          <w:sz w:val="24"/>
          <w:szCs w:val="24"/>
        </w:rPr>
        <w:lastRenderedPageBreak/>
        <w:t>的子民</w:t>
      </w:r>
      <w:r w:rsidR="00C57971" w:rsidRPr="007D113E">
        <w:rPr>
          <w:rFonts w:ascii="Calibri" w:eastAsia="PMingLiU" w:hAnsi="Calibri" w:cs="Calibri"/>
          <w:sz w:val="24"/>
          <w:szCs w:val="24"/>
        </w:rPr>
        <w:t>，</w:t>
      </w:r>
      <w:r w:rsidR="00C57971" w:rsidRPr="007D113E">
        <w:rPr>
          <w:rFonts w:ascii="Calibri" w:eastAsia="PMingLiU" w:hAnsi="Calibri" w:cs="Calibri"/>
          <w:sz w:val="24"/>
          <w:szCs w:val="24"/>
        </w:rPr>
        <w:t xml:space="preserve"> </w:t>
      </w:r>
      <w:r w:rsidR="00C57971" w:rsidRPr="007D113E">
        <w:rPr>
          <w:rFonts w:ascii="Calibri" w:eastAsia="PMingLiU" w:hAnsi="Calibri" w:cs="Calibri"/>
          <w:sz w:val="24"/>
          <w:szCs w:val="24"/>
        </w:rPr>
        <w:t>并且圣灵的能力和爱的道理是基督徒的道德指标和能力，藉此才可以形成犹太人与外邦人合一的群体</w:t>
      </w:r>
      <w:r w:rsidR="00117DE5" w:rsidRPr="007D113E">
        <w:rPr>
          <w:rFonts w:ascii="Calibri" w:eastAsia="PMingLiU" w:hAnsi="Calibri" w:cs="Calibri"/>
          <w:sz w:val="24"/>
          <w:szCs w:val="24"/>
        </w:rPr>
        <w:t>。</w:t>
      </w:r>
      <w:r w:rsidR="00C57971" w:rsidRPr="007D113E">
        <w:rPr>
          <w:rStyle w:val="EndnoteReference"/>
          <w:rFonts w:ascii="Calibri" w:eastAsia="PMingLiU" w:hAnsi="Calibri" w:cs="Calibri"/>
          <w:sz w:val="24"/>
          <w:szCs w:val="24"/>
        </w:rPr>
        <w:endnoteReference w:id="13"/>
      </w:r>
    </w:p>
    <w:p w14:paraId="6780BEC8" w14:textId="7F5AE3A5" w:rsidR="00C57971" w:rsidRPr="007D113E" w:rsidRDefault="00C57971"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ab/>
      </w:r>
      <w:r w:rsidRPr="007D113E">
        <w:rPr>
          <w:rFonts w:ascii="Calibri" w:eastAsia="PMingLiU" w:hAnsi="Calibri" w:cs="Calibri"/>
          <w:sz w:val="24"/>
          <w:szCs w:val="24"/>
        </w:rPr>
        <w:t>在现在充满暴力的世界里，论语和加拉太书也要面对同样问题。</w:t>
      </w:r>
      <w:r w:rsidRPr="007D113E">
        <w:rPr>
          <w:rFonts w:ascii="Calibri" w:eastAsia="PMingLiU" w:hAnsi="Calibri" w:cs="Calibri"/>
          <w:sz w:val="24"/>
          <w:szCs w:val="24"/>
        </w:rPr>
        <w:t xml:space="preserve"> </w:t>
      </w:r>
      <w:r w:rsidRPr="007D113E">
        <w:rPr>
          <w:rFonts w:ascii="Calibri" w:eastAsia="PMingLiU" w:hAnsi="Calibri" w:cs="Calibri"/>
          <w:sz w:val="24"/>
          <w:szCs w:val="24"/>
        </w:rPr>
        <w:t>论语的问题是怎样在</w:t>
      </w:r>
      <w:r w:rsidR="00C24A94" w:rsidRPr="007D113E">
        <w:rPr>
          <w:rFonts w:ascii="Calibri" w:eastAsia="PMingLiU" w:hAnsi="Calibri" w:cs="Calibri"/>
          <w:sz w:val="24"/>
          <w:szCs w:val="24"/>
        </w:rPr>
        <w:t>战国时代</w:t>
      </w:r>
      <w:r w:rsidRPr="007D113E">
        <w:rPr>
          <w:rFonts w:ascii="Calibri" w:eastAsia="PMingLiU" w:hAnsi="Calibri" w:cs="Calibri"/>
          <w:sz w:val="24"/>
          <w:szCs w:val="24"/>
        </w:rPr>
        <w:t>暴力社会里</w:t>
      </w:r>
      <w:r w:rsidR="006F0BC5" w:rsidRPr="007D113E">
        <w:rPr>
          <w:rFonts w:ascii="Calibri" w:eastAsia="PMingLiU" w:hAnsi="Calibri" w:cs="Calibri"/>
          <w:sz w:val="24"/>
          <w:szCs w:val="24"/>
        </w:rPr>
        <w:t>形成群体。加拉太书的问题是怎样在律法与自由的对比下形成神的子民群体</w:t>
      </w:r>
      <w:r w:rsidR="00117DE5" w:rsidRPr="007D113E">
        <w:rPr>
          <w:rFonts w:ascii="Calibri" w:eastAsia="PMingLiU" w:hAnsi="Calibri" w:cs="Calibri"/>
          <w:sz w:val="24"/>
          <w:szCs w:val="24"/>
        </w:rPr>
        <w:t>。</w:t>
      </w:r>
      <w:r w:rsidR="006F0BC5" w:rsidRPr="007D113E">
        <w:rPr>
          <w:rStyle w:val="EndnoteReference"/>
          <w:rFonts w:ascii="Calibri" w:eastAsia="PMingLiU" w:hAnsi="Calibri" w:cs="Calibri"/>
          <w:sz w:val="24"/>
          <w:szCs w:val="24"/>
        </w:rPr>
        <w:endnoteReference w:id="14"/>
      </w:r>
    </w:p>
    <w:p w14:paraId="2F0FC8DA" w14:textId="68C50209" w:rsidR="006F0BC5" w:rsidRPr="007D113E" w:rsidRDefault="006F0BC5"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ab/>
      </w:r>
      <w:bookmarkStart w:id="21" w:name="_Hlk193199427"/>
      <w:r w:rsidRPr="007D113E">
        <w:rPr>
          <w:rFonts w:ascii="Calibri" w:eastAsia="PMingLiU" w:hAnsi="Calibri" w:cs="Calibri"/>
          <w:sz w:val="24"/>
          <w:szCs w:val="24"/>
        </w:rPr>
        <w:t>杨克勤</w:t>
      </w:r>
      <w:bookmarkEnd w:id="21"/>
      <w:r w:rsidRPr="007D113E">
        <w:rPr>
          <w:rFonts w:ascii="Calibri" w:eastAsia="PMingLiU" w:hAnsi="Calibri" w:cs="Calibri"/>
          <w:sz w:val="24"/>
          <w:szCs w:val="24"/>
        </w:rPr>
        <w:t>采用文本比较方法</w:t>
      </w:r>
      <w:r w:rsidRPr="007D113E">
        <w:rPr>
          <w:rFonts w:ascii="Calibri" w:eastAsia="PMingLiU" w:hAnsi="Calibri" w:cs="Calibri"/>
          <w:sz w:val="24"/>
          <w:szCs w:val="24"/>
        </w:rPr>
        <w:t xml:space="preserve"> (intertextual reading)</w:t>
      </w:r>
      <w:r w:rsidRPr="007D113E">
        <w:rPr>
          <w:rFonts w:ascii="Calibri" w:eastAsia="PMingLiU" w:hAnsi="Calibri" w:cs="Calibri"/>
          <w:sz w:val="24"/>
          <w:szCs w:val="24"/>
        </w:rPr>
        <w:t>来研读论语和加拉太书，从历史意义转到应用，从论语一段经文带到加拉太书一段经文，或相反</w:t>
      </w:r>
      <w:r w:rsidR="00D02E7C" w:rsidRPr="007D113E">
        <w:rPr>
          <w:rFonts w:ascii="Calibri" w:eastAsia="PMingLiU" w:hAnsi="Calibri" w:cs="Calibri"/>
          <w:sz w:val="24"/>
          <w:szCs w:val="24"/>
        </w:rPr>
        <w:t>方向的研读。他企图从这方式找出中国基督教神学，从而解决道德、暴力、政治等问题</w:t>
      </w:r>
      <w:r w:rsidR="00117DE5" w:rsidRPr="007D113E">
        <w:rPr>
          <w:rFonts w:ascii="Calibri" w:eastAsia="PMingLiU" w:hAnsi="Calibri" w:cs="Calibri"/>
          <w:sz w:val="24"/>
          <w:szCs w:val="24"/>
        </w:rPr>
        <w:t>。</w:t>
      </w:r>
      <w:r w:rsidR="00D02E7C" w:rsidRPr="007D113E">
        <w:rPr>
          <w:rStyle w:val="EndnoteReference"/>
          <w:rFonts w:ascii="Calibri" w:eastAsia="PMingLiU" w:hAnsi="Calibri" w:cs="Calibri"/>
          <w:sz w:val="24"/>
          <w:szCs w:val="24"/>
        </w:rPr>
        <w:endnoteReference w:id="15"/>
      </w:r>
      <w:r w:rsidR="00D00FF9" w:rsidRPr="007D113E">
        <w:rPr>
          <w:rFonts w:ascii="Calibri" w:eastAsia="PMingLiU" w:hAnsi="Calibri" w:cs="Calibri"/>
          <w:sz w:val="24"/>
          <w:szCs w:val="24"/>
        </w:rPr>
        <w:t>并藉此找出与西方分别的中国基督徒的身份。</w:t>
      </w:r>
    </w:p>
    <w:p w14:paraId="455C3B14" w14:textId="4490A98E" w:rsidR="00D02E7C" w:rsidRPr="007D113E" w:rsidRDefault="00D02E7C"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ab/>
      </w:r>
      <w:r w:rsidRPr="007D113E">
        <w:rPr>
          <w:rFonts w:ascii="Calibri" w:eastAsia="PMingLiU" w:hAnsi="Calibri" w:cs="Calibri"/>
          <w:sz w:val="24"/>
          <w:szCs w:val="24"/>
        </w:rPr>
        <w:t>当然</w:t>
      </w:r>
      <w:r w:rsidR="003A18CB" w:rsidRPr="007D113E">
        <w:rPr>
          <w:rFonts w:ascii="Calibri" w:eastAsia="PMingLiU" w:hAnsi="Calibri" w:cs="Calibri"/>
          <w:sz w:val="24"/>
          <w:szCs w:val="24"/>
        </w:rPr>
        <w:t>孔子</w:t>
      </w:r>
      <w:r w:rsidRPr="007D113E">
        <w:rPr>
          <w:rFonts w:ascii="Calibri" w:eastAsia="PMingLiU" w:hAnsi="Calibri" w:cs="Calibri"/>
          <w:sz w:val="24"/>
          <w:szCs w:val="24"/>
        </w:rPr>
        <w:t>和</w:t>
      </w:r>
      <w:r w:rsidR="003A18CB" w:rsidRPr="007D113E">
        <w:rPr>
          <w:rFonts w:ascii="Calibri" w:eastAsia="PMingLiU" w:hAnsi="Calibri" w:cs="Calibri"/>
          <w:sz w:val="24"/>
          <w:szCs w:val="24"/>
        </w:rPr>
        <w:t>保罗的论说</w:t>
      </w:r>
      <w:r w:rsidRPr="007D113E">
        <w:rPr>
          <w:rFonts w:ascii="Calibri" w:eastAsia="PMingLiU" w:hAnsi="Calibri" w:cs="Calibri"/>
          <w:sz w:val="24"/>
          <w:szCs w:val="24"/>
        </w:rPr>
        <w:t>有差异的地方，但是杨克勤认为差异其实表示可以互相补充。</w:t>
      </w:r>
      <w:r w:rsidR="003A18CB" w:rsidRPr="007D113E">
        <w:rPr>
          <w:rFonts w:ascii="Calibri" w:eastAsia="PMingLiU" w:hAnsi="Calibri" w:cs="Calibri"/>
          <w:sz w:val="24"/>
          <w:szCs w:val="24"/>
        </w:rPr>
        <w:t>孔子</w:t>
      </w:r>
      <w:r w:rsidRPr="007D113E">
        <w:rPr>
          <w:rFonts w:ascii="Calibri" w:eastAsia="PMingLiU" w:hAnsi="Calibri" w:cs="Calibri"/>
          <w:sz w:val="24"/>
          <w:szCs w:val="24"/>
        </w:rPr>
        <w:t>缺乏神学思维</w:t>
      </w:r>
      <w:r w:rsidR="003A18CB" w:rsidRPr="007D113E">
        <w:rPr>
          <w:rFonts w:ascii="Calibri" w:eastAsia="PMingLiU" w:hAnsi="Calibri" w:cs="Calibri"/>
          <w:sz w:val="24"/>
          <w:szCs w:val="24"/>
        </w:rPr>
        <w:t>，保罗可以补充这缺乏。保罗相对的缺乏道德伦理，论语可以补充。孔子着重道（真理）、仁（人道）、礼（仪式）、忠（忠心）和恕（同理心）。儒家的思潮集中于培养仁人</w:t>
      </w:r>
      <w:r w:rsidR="00117DE5" w:rsidRPr="007D113E">
        <w:rPr>
          <w:rFonts w:ascii="Calibri" w:eastAsia="PMingLiU" w:hAnsi="Calibri" w:cs="Calibri"/>
          <w:sz w:val="24"/>
          <w:szCs w:val="24"/>
        </w:rPr>
        <w:t>。</w:t>
      </w:r>
      <w:r w:rsidR="003A18CB" w:rsidRPr="007D113E">
        <w:rPr>
          <w:rStyle w:val="EndnoteReference"/>
          <w:rFonts w:ascii="Calibri" w:eastAsia="PMingLiU" w:hAnsi="Calibri" w:cs="Calibri"/>
          <w:sz w:val="24"/>
          <w:szCs w:val="24"/>
        </w:rPr>
        <w:endnoteReference w:id="16"/>
      </w:r>
      <w:r w:rsidR="003A18CB" w:rsidRPr="007D113E">
        <w:rPr>
          <w:rFonts w:ascii="Calibri" w:eastAsia="PMingLiU" w:hAnsi="Calibri" w:cs="Calibri"/>
          <w:sz w:val="24"/>
          <w:szCs w:val="24"/>
        </w:rPr>
        <w:t>这样就相得益彰了。</w:t>
      </w:r>
    </w:p>
    <w:p w14:paraId="713D9EF2" w14:textId="10E5D074" w:rsidR="00D00FF9" w:rsidRPr="007D113E" w:rsidRDefault="00D00FF9"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 xml:space="preserve">2. </w:t>
      </w:r>
      <w:r w:rsidRPr="007D113E">
        <w:rPr>
          <w:rFonts w:ascii="Calibri" w:eastAsia="PMingLiU" w:hAnsi="Calibri" w:cs="Calibri"/>
          <w:sz w:val="24"/>
          <w:szCs w:val="24"/>
        </w:rPr>
        <w:t>跨文化诠释学</w:t>
      </w:r>
    </w:p>
    <w:p w14:paraId="0CEB1C28" w14:textId="7A0FFDF0" w:rsidR="00D00FF9" w:rsidRPr="007D113E" w:rsidRDefault="001A00AA"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ab/>
      </w:r>
      <w:r w:rsidRPr="007D113E">
        <w:rPr>
          <w:rFonts w:ascii="Calibri" w:eastAsia="PMingLiU" w:hAnsi="Calibri" w:cs="Calibri"/>
          <w:sz w:val="24"/>
          <w:szCs w:val="24"/>
        </w:rPr>
        <w:t>杨克勤接受历史批判释经法，特别采用互动修辞方法</w:t>
      </w:r>
      <w:r w:rsidRPr="007D113E">
        <w:rPr>
          <w:rFonts w:ascii="Calibri" w:eastAsia="PMingLiU" w:hAnsi="Calibri" w:cs="Calibri"/>
          <w:sz w:val="24"/>
          <w:szCs w:val="24"/>
        </w:rPr>
        <w:t xml:space="preserve"> (interactive-rhetorical)</w:t>
      </w:r>
      <w:r w:rsidRPr="007D113E">
        <w:rPr>
          <w:rFonts w:ascii="Calibri" w:eastAsia="PMingLiU" w:hAnsi="Calibri" w:cs="Calibri"/>
          <w:sz w:val="24"/>
          <w:szCs w:val="24"/>
        </w:rPr>
        <w:t>。互动表达在释经时释经者是与</w:t>
      </w:r>
      <w:r w:rsidR="00772CE4" w:rsidRPr="007D113E">
        <w:rPr>
          <w:rFonts w:ascii="Calibri" w:eastAsia="PMingLiU" w:hAnsi="Calibri" w:cs="Calibri"/>
          <w:sz w:val="24"/>
          <w:szCs w:val="24"/>
        </w:rPr>
        <w:t>经文互动，而不是客观的解释经文</w:t>
      </w:r>
      <w:r w:rsidR="00117DE5" w:rsidRPr="007D113E">
        <w:rPr>
          <w:rFonts w:ascii="Calibri" w:eastAsia="PMingLiU" w:hAnsi="Calibri" w:cs="Calibri"/>
          <w:sz w:val="24"/>
          <w:szCs w:val="24"/>
        </w:rPr>
        <w:t>。</w:t>
      </w:r>
      <w:r w:rsidR="00772CE4" w:rsidRPr="007D113E">
        <w:rPr>
          <w:rStyle w:val="EndnoteReference"/>
          <w:rFonts w:ascii="Calibri" w:eastAsia="PMingLiU" w:hAnsi="Calibri" w:cs="Calibri"/>
          <w:sz w:val="24"/>
          <w:szCs w:val="24"/>
        </w:rPr>
        <w:endnoteReference w:id="17"/>
      </w:r>
      <w:r w:rsidR="00772CE4" w:rsidRPr="007D113E">
        <w:rPr>
          <w:rFonts w:ascii="Calibri" w:eastAsia="PMingLiU" w:hAnsi="Calibri" w:cs="Calibri"/>
          <w:sz w:val="24"/>
          <w:szCs w:val="24"/>
        </w:rPr>
        <w:t>他认为用这方法可以描述释经中文化的角色。修辞法</w:t>
      </w:r>
      <w:r w:rsidR="003E4F4F" w:rsidRPr="007D113E">
        <w:rPr>
          <w:rFonts w:ascii="Calibri" w:eastAsia="PMingLiU" w:hAnsi="Calibri" w:cs="Calibri"/>
          <w:sz w:val="24"/>
          <w:szCs w:val="24"/>
        </w:rPr>
        <w:t>出现于不同层面，第一层是作者，第二层是文本，第三层是释经者与文本的互动</w:t>
      </w:r>
      <w:r w:rsidR="00117DE5" w:rsidRPr="007D113E">
        <w:rPr>
          <w:rFonts w:ascii="Calibri" w:eastAsia="PMingLiU" w:hAnsi="Calibri" w:cs="Calibri"/>
          <w:sz w:val="24"/>
          <w:szCs w:val="24"/>
        </w:rPr>
        <w:t>。</w:t>
      </w:r>
      <w:r w:rsidR="003E4F4F" w:rsidRPr="007D113E">
        <w:rPr>
          <w:rStyle w:val="EndnoteReference"/>
          <w:rFonts w:ascii="Calibri" w:eastAsia="PMingLiU" w:hAnsi="Calibri" w:cs="Calibri"/>
          <w:sz w:val="24"/>
          <w:szCs w:val="24"/>
        </w:rPr>
        <w:endnoteReference w:id="18"/>
      </w:r>
      <w:r w:rsidR="003E4F4F" w:rsidRPr="007D113E">
        <w:rPr>
          <w:rFonts w:ascii="Calibri" w:eastAsia="PMingLiU" w:hAnsi="Calibri" w:cs="Calibri"/>
          <w:sz w:val="24"/>
          <w:szCs w:val="24"/>
        </w:rPr>
        <w:t>释经的控制不在经文</w:t>
      </w:r>
      <w:r w:rsidR="00156B9C" w:rsidRPr="007D113E">
        <w:rPr>
          <w:rFonts w:ascii="Calibri" w:eastAsia="PMingLiU" w:hAnsi="Calibri" w:cs="Calibri"/>
          <w:sz w:val="24"/>
          <w:szCs w:val="24"/>
        </w:rPr>
        <w:t>或作者，而在经文与释经者的互动，在这互动中释经者与经文互相对话，并批判性的考察自己的生命</w:t>
      </w:r>
      <w:r w:rsidR="00117DE5" w:rsidRPr="007D113E">
        <w:rPr>
          <w:rFonts w:ascii="Calibri" w:eastAsia="PMingLiU" w:hAnsi="Calibri" w:cs="Calibri"/>
          <w:sz w:val="24"/>
          <w:szCs w:val="24"/>
        </w:rPr>
        <w:t>。</w:t>
      </w:r>
      <w:r w:rsidR="00156B9C" w:rsidRPr="007D113E">
        <w:rPr>
          <w:rStyle w:val="EndnoteReference"/>
          <w:rFonts w:ascii="Calibri" w:eastAsia="PMingLiU" w:hAnsi="Calibri" w:cs="Calibri"/>
          <w:sz w:val="24"/>
          <w:szCs w:val="24"/>
        </w:rPr>
        <w:endnoteReference w:id="19"/>
      </w:r>
      <w:r w:rsidR="00156B9C" w:rsidRPr="007D113E">
        <w:rPr>
          <w:rFonts w:ascii="Calibri" w:eastAsia="PMingLiU" w:hAnsi="Calibri" w:cs="Calibri"/>
          <w:sz w:val="24"/>
          <w:szCs w:val="24"/>
        </w:rPr>
        <w:t>经文不单带来意义，并且创造意义。释经者不单解释，也被经文阅读，即是自己生命被阅读，因此</w:t>
      </w:r>
      <w:r w:rsidR="00C24A94" w:rsidRPr="007D113E">
        <w:rPr>
          <w:rFonts w:ascii="Calibri" w:eastAsia="PMingLiU" w:hAnsi="Calibri" w:cs="Calibri"/>
          <w:sz w:val="24"/>
          <w:szCs w:val="24"/>
        </w:rPr>
        <w:t>经文的</w:t>
      </w:r>
      <w:r w:rsidR="00156B9C" w:rsidRPr="007D113E">
        <w:rPr>
          <w:rFonts w:ascii="Calibri" w:eastAsia="PMingLiU" w:hAnsi="Calibri" w:cs="Calibri"/>
          <w:sz w:val="24"/>
          <w:szCs w:val="24"/>
        </w:rPr>
        <w:t>作者不能控制意义</w:t>
      </w:r>
      <w:r w:rsidR="00117DE5" w:rsidRPr="007D113E">
        <w:rPr>
          <w:rFonts w:ascii="Calibri" w:eastAsia="PMingLiU" w:hAnsi="Calibri" w:cs="Calibri"/>
          <w:sz w:val="24"/>
          <w:szCs w:val="24"/>
        </w:rPr>
        <w:t>。</w:t>
      </w:r>
      <w:r w:rsidR="00156B9C" w:rsidRPr="007D113E">
        <w:rPr>
          <w:rStyle w:val="EndnoteReference"/>
          <w:rFonts w:ascii="Calibri" w:eastAsia="PMingLiU" w:hAnsi="Calibri" w:cs="Calibri"/>
          <w:sz w:val="24"/>
          <w:szCs w:val="24"/>
        </w:rPr>
        <w:endnoteReference w:id="20"/>
      </w:r>
    </w:p>
    <w:p w14:paraId="07925438" w14:textId="0CF2D8EC" w:rsidR="00765C56" w:rsidRPr="007D113E" w:rsidRDefault="00765C56"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ab/>
      </w:r>
      <w:r w:rsidRPr="007D113E">
        <w:rPr>
          <w:rFonts w:ascii="Calibri" w:eastAsia="PMingLiU" w:hAnsi="Calibri" w:cs="Calibri"/>
          <w:sz w:val="24"/>
          <w:szCs w:val="24"/>
        </w:rPr>
        <w:t>虽然如此，不是任何</w:t>
      </w:r>
      <w:r w:rsidR="00C24A94" w:rsidRPr="007D113E">
        <w:rPr>
          <w:rFonts w:ascii="Calibri" w:eastAsia="PMingLiU" w:hAnsi="Calibri" w:cs="Calibri"/>
          <w:sz w:val="24"/>
          <w:szCs w:val="24"/>
        </w:rPr>
        <w:t>解释</w:t>
      </w:r>
      <w:r w:rsidRPr="007D113E">
        <w:rPr>
          <w:rFonts w:ascii="Calibri" w:eastAsia="PMingLiU" w:hAnsi="Calibri" w:cs="Calibri"/>
          <w:sz w:val="24"/>
          <w:szCs w:val="24"/>
        </w:rPr>
        <w:t>都可以被接受。只有一些意义才是可靠的。并且释经不单是个人的事，而是信仰群体的事情。信仰群体有控制的角色，如此可以避免错误的解释</w:t>
      </w:r>
      <w:r w:rsidR="00117DE5" w:rsidRPr="007D113E">
        <w:rPr>
          <w:rFonts w:ascii="Calibri" w:eastAsia="PMingLiU" w:hAnsi="Calibri" w:cs="Calibri"/>
          <w:sz w:val="24"/>
          <w:szCs w:val="24"/>
        </w:rPr>
        <w:t>。</w:t>
      </w:r>
      <w:r w:rsidRPr="007D113E">
        <w:rPr>
          <w:rStyle w:val="EndnoteReference"/>
          <w:rFonts w:ascii="Calibri" w:eastAsia="PMingLiU" w:hAnsi="Calibri" w:cs="Calibri"/>
          <w:sz w:val="24"/>
          <w:szCs w:val="24"/>
        </w:rPr>
        <w:endnoteReference w:id="21"/>
      </w:r>
    </w:p>
    <w:p w14:paraId="5E60E22C" w14:textId="03EED864" w:rsidR="00765C56" w:rsidRPr="007D113E" w:rsidRDefault="00765C56"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 xml:space="preserve">3. </w:t>
      </w:r>
      <w:r w:rsidRPr="007D113E">
        <w:rPr>
          <w:rFonts w:ascii="Calibri" w:eastAsia="PMingLiU" w:hAnsi="Calibri" w:cs="Calibri"/>
          <w:sz w:val="24"/>
          <w:szCs w:val="24"/>
        </w:rPr>
        <w:t>评语</w:t>
      </w:r>
    </w:p>
    <w:p w14:paraId="229039E3" w14:textId="6508E8E9" w:rsidR="00765C56" w:rsidRPr="007D113E" w:rsidRDefault="00765C56"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lastRenderedPageBreak/>
        <w:tab/>
      </w:r>
      <w:bookmarkStart w:id="23" w:name="_Hlk193203050"/>
      <w:r w:rsidRPr="007D113E">
        <w:rPr>
          <w:rFonts w:ascii="Calibri" w:eastAsia="PMingLiU" w:hAnsi="Calibri" w:cs="Calibri"/>
          <w:sz w:val="24"/>
          <w:szCs w:val="24"/>
        </w:rPr>
        <w:t>杨克勤</w:t>
      </w:r>
      <w:bookmarkEnd w:id="23"/>
      <w:r w:rsidRPr="007D113E">
        <w:rPr>
          <w:rFonts w:ascii="Calibri" w:eastAsia="PMingLiU" w:hAnsi="Calibri" w:cs="Calibri"/>
          <w:sz w:val="24"/>
          <w:szCs w:val="24"/>
        </w:rPr>
        <w:t>有时没有作任何判断，</w:t>
      </w:r>
      <w:r w:rsidRPr="007D113E">
        <w:rPr>
          <w:rFonts w:ascii="Calibri" w:eastAsia="PMingLiU" w:hAnsi="Calibri" w:cs="Calibri"/>
          <w:sz w:val="24"/>
          <w:szCs w:val="24"/>
        </w:rPr>
        <w:t xml:space="preserve"> </w:t>
      </w:r>
      <w:r w:rsidRPr="007D113E">
        <w:rPr>
          <w:rFonts w:ascii="Calibri" w:eastAsia="PMingLiU" w:hAnsi="Calibri" w:cs="Calibri"/>
          <w:sz w:val="24"/>
          <w:szCs w:val="24"/>
        </w:rPr>
        <w:t>例如有关中国基督教神学，他只排列孔子与保罗的论说，但没有陈述他的判断，叫人不知道谁是谁非。</w:t>
      </w:r>
      <w:r w:rsidR="00906318" w:rsidRPr="007D113E">
        <w:rPr>
          <w:rFonts w:ascii="Calibri" w:eastAsia="PMingLiU" w:hAnsi="Calibri" w:cs="Calibri"/>
          <w:sz w:val="24"/>
          <w:szCs w:val="24"/>
        </w:rPr>
        <w:t>并且将圣经与其他文献并列，好像两者有同等权威，这样圣经的最终权威好像被轻视了</w:t>
      </w:r>
      <w:r w:rsidR="00117DE5" w:rsidRPr="007D113E">
        <w:rPr>
          <w:rFonts w:ascii="Calibri" w:eastAsia="PMingLiU" w:hAnsi="Calibri" w:cs="Calibri"/>
          <w:sz w:val="24"/>
          <w:szCs w:val="24"/>
        </w:rPr>
        <w:t>。</w:t>
      </w:r>
      <w:r w:rsidR="00906318" w:rsidRPr="007D113E">
        <w:rPr>
          <w:rStyle w:val="EndnoteReference"/>
          <w:rFonts w:ascii="Calibri" w:eastAsia="PMingLiU" w:hAnsi="Calibri" w:cs="Calibri"/>
          <w:sz w:val="24"/>
          <w:szCs w:val="24"/>
        </w:rPr>
        <w:endnoteReference w:id="22"/>
      </w:r>
    </w:p>
    <w:p w14:paraId="1DC31DDD" w14:textId="3E45C3EF" w:rsidR="007778C9" w:rsidRPr="007D113E" w:rsidRDefault="007778C9" w:rsidP="00A35743">
      <w:pPr>
        <w:spacing w:line="360" w:lineRule="auto"/>
        <w:jc w:val="both"/>
        <w:rPr>
          <w:rFonts w:ascii="Calibri" w:eastAsia="PMingLiU" w:hAnsi="Calibri" w:cs="Calibri"/>
          <w:sz w:val="24"/>
          <w:szCs w:val="24"/>
        </w:rPr>
      </w:pPr>
      <w:r w:rsidRPr="007D113E">
        <w:rPr>
          <w:rFonts w:ascii="Calibri" w:eastAsia="PMingLiU" w:hAnsi="Calibri" w:cs="Calibri"/>
          <w:sz w:val="24"/>
          <w:szCs w:val="24"/>
        </w:rPr>
        <w:tab/>
      </w:r>
      <w:r w:rsidRPr="007D113E">
        <w:rPr>
          <w:rFonts w:ascii="Calibri" w:eastAsia="PMingLiU" w:hAnsi="Calibri" w:cs="Calibri"/>
          <w:sz w:val="24"/>
          <w:szCs w:val="24"/>
        </w:rPr>
        <w:t>尽管有这些问题，杨克勤仍然尽量正确解释经文，</w:t>
      </w:r>
      <w:r w:rsidR="00E31AE5" w:rsidRPr="007D113E">
        <w:rPr>
          <w:rFonts w:ascii="Calibri" w:eastAsia="PMingLiU" w:hAnsi="Calibri" w:cs="Calibri"/>
          <w:sz w:val="24"/>
          <w:szCs w:val="24"/>
        </w:rPr>
        <w:t>这</w:t>
      </w:r>
      <w:r w:rsidRPr="007D113E">
        <w:rPr>
          <w:rFonts w:ascii="Calibri" w:eastAsia="PMingLiU" w:hAnsi="Calibri" w:cs="Calibri"/>
          <w:sz w:val="24"/>
          <w:szCs w:val="24"/>
        </w:rPr>
        <w:t>表达他接受圣经的最终权威，所以仍是站在福音派的立场。</w:t>
      </w:r>
      <w:r w:rsidRPr="007D113E">
        <w:rPr>
          <w:rFonts w:ascii="Calibri" w:eastAsia="PMingLiU" w:hAnsi="Calibri" w:cs="Calibri"/>
          <w:sz w:val="24"/>
          <w:szCs w:val="24"/>
        </w:rPr>
        <w:t>Brooks</w:t>
      </w:r>
      <w:r w:rsidRPr="007D113E">
        <w:rPr>
          <w:rFonts w:ascii="Calibri" w:eastAsia="PMingLiU" w:hAnsi="Calibri" w:cs="Calibri"/>
          <w:sz w:val="24"/>
          <w:szCs w:val="24"/>
        </w:rPr>
        <w:t>认为不可以接受他的</w:t>
      </w:r>
      <w:bookmarkStart w:id="24" w:name="_Hlk193203791"/>
      <w:r w:rsidRPr="007D113E">
        <w:rPr>
          <w:rFonts w:ascii="Calibri" w:eastAsia="PMingLiU" w:hAnsi="Calibri" w:cs="Calibri"/>
          <w:sz w:val="24"/>
          <w:szCs w:val="24"/>
        </w:rPr>
        <w:t>跨文化诠释学</w:t>
      </w:r>
      <w:bookmarkEnd w:id="24"/>
      <w:r w:rsidR="00117DE5" w:rsidRPr="007D113E">
        <w:rPr>
          <w:rFonts w:ascii="Calibri" w:eastAsia="PMingLiU" w:hAnsi="Calibri" w:cs="Calibri"/>
          <w:sz w:val="24"/>
          <w:szCs w:val="24"/>
        </w:rPr>
        <w:t>，</w:t>
      </w:r>
      <w:r w:rsidR="00E31AE5" w:rsidRPr="007D113E">
        <w:rPr>
          <w:rStyle w:val="EndnoteReference"/>
          <w:rFonts w:ascii="Calibri" w:eastAsia="PMingLiU" w:hAnsi="Calibri" w:cs="Calibri"/>
          <w:sz w:val="24"/>
          <w:szCs w:val="24"/>
        </w:rPr>
        <w:endnoteReference w:id="23"/>
      </w:r>
      <w:r w:rsidRPr="007D113E">
        <w:rPr>
          <w:rFonts w:ascii="Calibri" w:eastAsia="PMingLiU" w:hAnsi="Calibri" w:cs="Calibri"/>
          <w:sz w:val="24"/>
          <w:szCs w:val="24"/>
        </w:rPr>
        <w:t>我认为这是过分的评语。</w:t>
      </w:r>
      <w:r w:rsidRPr="007D113E">
        <w:rPr>
          <w:rFonts w:ascii="Calibri" w:eastAsia="PMingLiU" w:hAnsi="Calibri" w:cs="Calibri"/>
          <w:sz w:val="24"/>
          <w:szCs w:val="24"/>
        </w:rPr>
        <w:t xml:space="preserve">Brooks </w:t>
      </w:r>
      <w:r w:rsidRPr="007D113E">
        <w:rPr>
          <w:rFonts w:ascii="Calibri" w:eastAsia="PMingLiU" w:hAnsi="Calibri" w:cs="Calibri"/>
          <w:sz w:val="24"/>
          <w:szCs w:val="24"/>
        </w:rPr>
        <w:t>是采取保守福音派的释经立场，只有</w:t>
      </w:r>
      <w:bookmarkStart w:id="25" w:name="_Hlk193203761"/>
      <w:r w:rsidRPr="007D113E">
        <w:rPr>
          <w:rFonts w:ascii="Calibri" w:eastAsia="PMingLiU" w:hAnsi="Calibri" w:cs="Calibri"/>
          <w:sz w:val="24"/>
          <w:szCs w:val="24"/>
        </w:rPr>
        <w:t>文法历史释经法</w:t>
      </w:r>
      <w:bookmarkEnd w:id="25"/>
      <w:r w:rsidRPr="007D113E">
        <w:rPr>
          <w:rFonts w:ascii="Calibri" w:eastAsia="PMingLiU" w:hAnsi="Calibri" w:cs="Calibri"/>
          <w:sz w:val="24"/>
          <w:szCs w:val="24"/>
        </w:rPr>
        <w:t xml:space="preserve"> (</w:t>
      </w:r>
      <w:proofErr w:type="spellStart"/>
      <w:r w:rsidRPr="007D113E">
        <w:rPr>
          <w:rFonts w:ascii="Calibri" w:eastAsia="PMingLiU" w:hAnsi="Calibri" w:cs="Calibri"/>
          <w:sz w:val="24"/>
          <w:szCs w:val="24"/>
        </w:rPr>
        <w:t>grammatico</w:t>
      </w:r>
      <w:proofErr w:type="spellEnd"/>
      <w:r w:rsidRPr="007D113E">
        <w:rPr>
          <w:rFonts w:ascii="Calibri" w:eastAsia="PMingLiU" w:hAnsi="Calibri" w:cs="Calibri"/>
          <w:sz w:val="24"/>
          <w:szCs w:val="24"/>
        </w:rPr>
        <w:t xml:space="preserve">-historical method) </w:t>
      </w:r>
      <w:r w:rsidRPr="007D113E">
        <w:rPr>
          <w:rFonts w:ascii="Calibri" w:eastAsia="PMingLiU" w:hAnsi="Calibri" w:cs="Calibri"/>
          <w:sz w:val="24"/>
          <w:szCs w:val="24"/>
        </w:rPr>
        <w:t>是唯一可以接受的方法，并且有些</w:t>
      </w:r>
      <w:r w:rsidR="00E31AE5" w:rsidRPr="007D113E">
        <w:rPr>
          <w:rFonts w:ascii="Calibri" w:eastAsia="PMingLiU" w:hAnsi="Calibri" w:cs="Calibri"/>
          <w:sz w:val="24"/>
          <w:szCs w:val="24"/>
        </w:rPr>
        <w:t>过分圣经审判文化的倾向</w:t>
      </w:r>
      <w:r w:rsidRPr="007D113E">
        <w:rPr>
          <w:rFonts w:ascii="Calibri" w:eastAsia="PMingLiU" w:hAnsi="Calibri" w:cs="Calibri"/>
          <w:sz w:val="24"/>
          <w:szCs w:val="24"/>
        </w:rPr>
        <w:t>。但是这方法的解释不是唯一的解释，可能有其他解释，是释经者因他的处境而忽略的。</w:t>
      </w:r>
      <w:r w:rsidR="00E31AE5" w:rsidRPr="007D113E">
        <w:rPr>
          <w:rFonts w:ascii="Calibri" w:eastAsia="PMingLiU" w:hAnsi="Calibri" w:cs="Calibri"/>
          <w:sz w:val="24"/>
          <w:szCs w:val="24"/>
        </w:rPr>
        <w:t>杨克勤比较接受文化的可取，只要谨慎的用文法历史释经法，他的跨文化诠释学可以指出保守福音派的释经的不足。这也是为什么我们需要不同文化背景的释经家参与普世释经，如此才可以加深我们对圣经的认识。</w:t>
      </w:r>
    </w:p>
    <w:p w14:paraId="7BBA4312" w14:textId="77777777" w:rsidR="00114A79" w:rsidRPr="007D113E" w:rsidRDefault="00114A79" w:rsidP="00A35743">
      <w:pPr>
        <w:spacing w:after="0" w:line="360" w:lineRule="auto"/>
        <w:jc w:val="both"/>
        <w:rPr>
          <w:rFonts w:ascii="Calibri" w:eastAsia="PMingLiU" w:hAnsi="Calibri" w:cs="Calibri"/>
          <w:sz w:val="24"/>
          <w:szCs w:val="24"/>
        </w:rPr>
      </w:pPr>
    </w:p>
    <w:sectPr w:rsidR="00114A79" w:rsidRPr="007D113E">
      <w:headerReference w:type="even" r:id="rId8"/>
      <w:head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F2271" w14:textId="77777777" w:rsidR="00957B6E" w:rsidRDefault="00957B6E" w:rsidP="00B470E5">
      <w:pPr>
        <w:spacing w:after="0" w:line="240" w:lineRule="auto"/>
      </w:pPr>
      <w:r>
        <w:separator/>
      </w:r>
    </w:p>
  </w:endnote>
  <w:endnote w:type="continuationSeparator" w:id="0">
    <w:p w14:paraId="7391A003" w14:textId="77777777" w:rsidR="00957B6E" w:rsidRDefault="00957B6E" w:rsidP="00B470E5">
      <w:pPr>
        <w:spacing w:after="0" w:line="240" w:lineRule="auto"/>
      </w:pPr>
      <w:r>
        <w:continuationSeparator/>
      </w:r>
    </w:p>
  </w:endnote>
  <w:endnote w:id="1">
    <w:p w14:paraId="0D737021" w14:textId="3EB4A598" w:rsidR="004E2014" w:rsidRPr="004E2014" w:rsidRDefault="004E2014" w:rsidP="00E56BDB">
      <w:pPr>
        <w:spacing w:after="0" w:line="240" w:lineRule="auto"/>
        <w:rPr>
          <w:lang w:val="en-US"/>
        </w:rPr>
      </w:pPr>
      <w:r>
        <w:rPr>
          <w:rStyle w:val="EndnoteReference"/>
        </w:rPr>
        <w:endnoteRef/>
      </w:r>
      <w:r>
        <w:t xml:space="preserve"> </w:t>
      </w:r>
      <w:r w:rsidRPr="00880836">
        <w:rPr>
          <w:rFonts w:asciiTheme="majorBidi" w:eastAsia="SimSun" w:hAnsiTheme="majorBidi" w:cstheme="majorBidi"/>
          <w:sz w:val="24"/>
          <w:szCs w:val="24"/>
          <w:lang w:val="en-US"/>
        </w:rPr>
        <w:t xml:space="preserve">R.S. </w:t>
      </w:r>
      <w:proofErr w:type="spellStart"/>
      <w:r w:rsidRPr="00880836">
        <w:rPr>
          <w:rFonts w:asciiTheme="majorBidi" w:eastAsia="SimSun" w:hAnsiTheme="majorBidi" w:cstheme="majorBidi"/>
          <w:sz w:val="24"/>
          <w:szCs w:val="24"/>
          <w:lang w:val="en-US"/>
        </w:rPr>
        <w:t>Sugirtharajah</w:t>
      </w:r>
      <w:proofErr w:type="spellEnd"/>
      <w:r w:rsidRPr="00880836">
        <w:rPr>
          <w:rFonts w:asciiTheme="majorBidi" w:eastAsia="SimSun" w:hAnsiTheme="majorBidi" w:cstheme="majorBidi"/>
          <w:sz w:val="24"/>
          <w:szCs w:val="24"/>
          <w:lang w:val="en-US"/>
        </w:rPr>
        <w:t xml:space="preserve">, “From Orientalist to Post-Colonial: Notes on Reading Practices,” </w:t>
      </w:r>
      <w:r w:rsidRPr="004E2014">
        <w:rPr>
          <w:rFonts w:asciiTheme="majorBidi" w:eastAsia="SimSun" w:hAnsiTheme="majorBidi" w:cstheme="majorBidi"/>
          <w:i/>
          <w:iCs/>
          <w:sz w:val="24"/>
          <w:szCs w:val="24"/>
          <w:lang w:val="en-US"/>
        </w:rPr>
        <w:t>Asia Journal of Theology</w:t>
      </w:r>
      <w:r w:rsidRPr="00880836">
        <w:rPr>
          <w:rFonts w:asciiTheme="majorBidi" w:eastAsia="SimSun" w:hAnsiTheme="majorBidi" w:cstheme="majorBidi"/>
          <w:sz w:val="24"/>
          <w:szCs w:val="24"/>
          <w:lang w:val="en-US"/>
        </w:rPr>
        <w:t xml:space="preserve"> 10, 1 (April 1996)</w:t>
      </w:r>
      <w:r>
        <w:rPr>
          <w:rFonts w:asciiTheme="majorBidi" w:eastAsia="SimSun" w:hAnsiTheme="majorBidi" w:cstheme="majorBidi" w:hint="eastAsia"/>
          <w:sz w:val="24"/>
          <w:szCs w:val="24"/>
          <w:lang w:val="en-US"/>
        </w:rPr>
        <w:t>:</w:t>
      </w:r>
      <w:r w:rsidRPr="00880836">
        <w:rPr>
          <w:rFonts w:asciiTheme="majorBidi" w:eastAsia="SimSun" w:hAnsiTheme="majorBidi" w:cstheme="majorBidi"/>
          <w:sz w:val="24"/>
          <w:szCs w:val="24"/>
          <w:lang w:val="en-US"/>
        </w:rPr>
        <w:t xml:space="preserve"> 20–27.</w:t>
      </w:r>
    </w:p>
  </w:endnote>
  <w:endnote w:id="2">
    <w:p w14:paraId="7C180CB1" w14:textId="1D87A406" w:rsidR="00E56BDB" w:rsidRDefault="00E56BDB" w:rsidP="00E56BDB">
      <w:pPr>
        <w:pStyle w:val="EndnoteText"/>
      </w:pPr>
      <w:r>
        <w:rPr>
          <w:rStyle w:val="EndnoteReference"/>
        </w:rPr>
        <w:endnoteRef/>
      </w:r>
      <w:r>
        <w:t xml:space="preserve"> </w:t>
      </w:r>
      <w:r w:rsidRPr="00E56BDB">
        <w:rPr>
          <w:rFonts w:ascii="SimSun" w:eastAsia="SimSun" w:hAnsi="SimSun" w:hint="eastAsia"/>
          <w:sz w:val="24"/>
          <w:szCs w:val="24"/>
        </w:rPr>
        <w:t>同上</w:t>
      </w:r>
      <w:r w:rsidRPr="00637AB9">
        <w:rPr>
          <w:rFonts w:asciiTheme="majorBidi" w:eastAsia="SimSun" w:hAnsiTheme="majorBidi" w:cstheme="majorBidi"/>
          <w:sz w:val="24"/>
          <w:szCs w:val="24"/>
        </w:rPr>
        <w:t>21</w:t>
      </w:r>
      <w:r w:rsidRPr="00E56BDB">
        <w:rPr>
          <w:rFonts w:ascii="SimSun" w:eastAsia="SimSun" w:hAnsi="SimSun" w:hint="eastAsia"/>
          <w:sz w:val="24"/>
          <w:szCs w:val="24"/>
        </w:rPr>
        <w:t>页。</w:t>
      </w:r>
    </w:p>
  </w:endnote>
  <w:endnote w:id="3">
    <w:p w14:paraId="24006DD9" w14:textId="2A8C6183" w:rsidR="00637AB9" w:rsidRDefault="00637AB9">
      <w:pPr>
        <w:pStyle w:val="EndnoteText"/>
      </w:pPr>
      <w:r>
        <w:rPr>
          <w:rStyle w:val="EndnoteReference"/>
        </w:rPr>
        <w:endnoteRef/>
      </w:r>
      <w:r>
        <w:t xml:space="preserve"> </w:t>
      </w:r>
      <w:bookmarkStart w:id="8" w:name="_Hlk193101393"/>
      <w:r w:rsidRPr="00E56BDB">
        <w:rPr>
          <w:rFonts w:ascii="SimSun" w:eastAsia="SimSun" w:hAnsi="SimSun" w:hint="eastAsia"/>
          <w:sz w:val="24"/>
          <w:szCs w:val="24"/>
        </w:rPr>
        <w:t>同上</w:t>
      </w:r>
      <w:r w:rsidRPr="00637AB9">
        <w:rPr>
          <w:rFonts w:asciiTheme="majorBidi" w:eastAsia="SimSun" w:hAnsiTheme="majorBidi" w:cstheme="majorBidi"/>
          <w:sz w:val="24"/>
          <w:szCs w:val="24"/>
        </w:rPr>
        <w:t>22</w:t>
      </w:r>
      <w:r w:rsidRPr="00E56BDB">
        <w:rPr>
          <w:rFonts w:ascii="SimSun" w:eastAsia="SimSun" w:hAnsi="SimSun" w:hint="eastAsia"/>
          <w:sz w:val="24"/>
          <w:szCs w:val="24"/>
        </w:rPr>
        <w:t>页。</w:t>
      </w:r>
      <w:bookmarkEnd w:id="8"/>
    </w:p>
  </w:endnote>
  <w:endnote w:id="4">
    <w:p w14:paraId="1E8D402A" w14:textId="2CB0693C" w:rsidR="0042124A" w:rsidRDefault="0042124A">
      <w:pPr>
        <w:pStyle w:val="EndnoteText"/>
      </w:pPr>
      <w:r>
        <w:rPr>
          <w:rStyle w:val="EndnoteReference"/>
        </w:rPr>
        <w:endnoteRef/>
      </w:r>
      <w:r>
        <w:t xml:space="preserve"> </w:t>
      </w:r>
      <w:r w:rsidRPr="00E56BDB">
        <w:rPr>
          <w:rFonts w:ascii="SimSun" w:eastAsia="SimSun" w:hAnsi="SimSun" w:hint="eastAsia"/>
          <w:sz w:val="24"/>
          <w:szCs w:val="24"/>
        </w:rPr>
        <w:t>同上</w:t>
      </w:r>
      <w:r w:rsidRPr="00637AB9">
        <w:rPr>
          <w:rFonts w:asciiTheme="majorBidi" w:eastAsia="SimSun" w:hAnsiTheme="majorBidi" w:cstheme="majorBidi"/>
          <w:sz w:val="24"/>
          <w:szCs w:val="24"/>
        </w:rPr>
        <w:t>22</w:t>
      </w:r>
      <w:r>
        <w:rPr>
          <w:rFonts w:asciiTheme="majorBidi" w:eastAsia="SimSun" w:hAnsiTheme="majorBidi" w:cstheme="majorBidi" w:hint="eastAsia"/>
          <w:sz w:val="24"/>
          <w:szCs w:val="24"/>
        </w:rPr>
        <w:t>至</w:t>
      </w:r>
      <w:r>
        <w:rPr>
          <w:rFonts w:asciiTheme="majorBidi" w:eastAsia="SimSun" w:hAnsiTheme="majorBidi" w:cstheme="majorBidi" w:hint="eastAsia"/>
          <w:sz w:val="24"/>
          <w:szCs w:val="24"/>
        </w:rPr>
        <w:t>23</w:t>
      </w:r>
      <w:r w:rsidRPr="00E56BDB">
        <w:rPr>
          <w:rFonts w:ascii="SimSun" w:eastAsia="SimSun" w:hAnsi="SimSun" w:hint="eastAsia"/>
          <w:sz w:val="24"/>
          <w:szCs w:val="24"/>
        </w:rPr>
        <w:t>页。</w:t>
      </w:r>
    </w:p>
  </w:endnote>
  <w:endnote w:id="5">
    <w:p w14:paraId="701241F0" w14:textId="2AF2AB38" w:rsidR="00731380" w:rsidRDefault="00731380">
      <w:pPr>
        <w:pStyle w:val="EndnoteText"/>
      </w:pPr>
      <w:r>
        <w:rPr>
          <w:rStyle w:val="EndnoteReference"/>
        </w:rPr>
        <w:endnoteRef/>
      </w:r>
      <w:r>
        <w:t xml:space="preserve"> </w:t>
      </w:r>
      <w:r w:rsidRPr="00D629FA">
        <w:rPr>
          <w:rFonts w:asciiTheme="majorBidi" w:eastAsia="SimSun" w:hAnsiTheme="majorBidi" w:cstheme="majorBidi"/>
          <w:sz w:val="24"/>
          <w:szCs w:val="24"/>
        </w:rPr>
        <w:t>Roji Thomas George</w:t>
      </w:r>
      <w:r>
        <w:rPr>
          <w:rFonts w:asciiTheme="majorBidi" w:eastAsia="SimSun" w:hAnsiTheme="majorBidi" w:cstheme="majorBidi"/>
          <w:sz w:val="24"/>
          <w:szCs w:val="24"/>
        </w:rPr>
        <w:t xml:space="preserve">, </w:t>
      </w:r>
      <w:r w:rsidRPr="00D629FA">
        <w:rPr>
          <w:rFonts w:asciiTheme="majorBidi" w:eastAsia="SimSun" w:hAnsiTheme="majorBidi" w:cstheme="majorBidi"/>
          <w:sz w:val="24"/>
          <w:szCs w:val="24"/>
        </w:rPr>
        <w:t>Postcolonial Biblical Criticism</w:t>
      </w:r>
      <w:r>
        <w:rPr>
          <w:rFonts w:asciiTheme="majorBidi" w:eastAsia="SimSun" w:hAnsiTheme="majorBidi" w:cstheme="majorBidi"/>
          <w:sz w:val="24"/>
          <w:szCs w:val="24"/>
        </w:rPr>
        <w:t>, in</w:t>
      </w:r>
      <w:r>
        <w:rPr>
          <w:rFonts w:asciiTheme="majorBidi" w:eastAsia="SimSun" w:hAnsiTheme="majorBidi" w:cstheme="majorBidi" w:hint="eastAsia"/>
          <w:sz w:val="24"/>
          <w:szCs w:val="24"/>
        </w:rPr>
        <w:t xml:space="preserve"> </w:t>
      </w:r>
      <w:r w:rsidRPr="00731380">
        <w:rPr>
          <w:rFonts w:asciiTheme="majorBidi" w:eastAsia="SimSun" w:hAnsiTheme="majorBidi" w:cstheme="majorBidi"/>
          <w:i/>
          <w:iCs/>
          <w:sz w:val="24"/>
          <w:szCs w:val="24"/>
        </w:rPr>
        <w:t>Approaches to the New Testament: A Handbook for Students and Pastors</w:t>
      </w:r>
      <w:r>
        <w:rPr>
          <w:rFonts w:asciiTheme="majorBidi" w:eastAsia="SimSun" w:hAnsiTheme="majorBidi" w:cstheme="majorBidi" w:hint="eastAsia"/>
          <w:sz w:val="24"/>
          <w:szCs w:val="24"/>
        </w:rPr>
        <w:t>,</w:t>
      </w:r>
      <w:r w:rsidRPr="00D629FA">
        <w:rPr>
          <w:rFonts w:asciiTheme="majorBidi" w:eastAsia="SimSun" w:hAnsiTheme="majorBidi" w:cstheme="majorBidi"/>
          <w:sz w:val="24"/>
          <w:szCs w:val="24"/>
        </w:rPr>
        <w:t xml:space="preserve"> </w:t>
      </w:r>
      <w:r>
        <w:rPr>
          <w:rFonts w:asciiTheme="majorBidi" w:eastAsia="SimSun" w:hAnsiTheme="majorBidi" w:cstheme="majorBidi" w:hint="eastAsia"/>
          <w:sz w:val="24"/>
          <w:szCs w:val="24"/>
        </w:rPr>
        <w:t>e</w:t>
      </w:r>
      <w:r w:rsidRPr="00D629FA">
        <w:rPr>
          <w:rFonts w:asciiTheme="majorBidi" w:eastAsia="SimSun" w:hAnsiTheme="majorBidi" w:cstheme="majorBidi"/>
          <w:sz w:val="24"/>
          <w:szCs w:val="24"/>
        </w:rPr>
        <w:t>d</w:t>
      </w:r>
      <w:r>
        <w:rPr>
          <w:rFonts w:asciiTheme="majorBidi" w:eastAsia="SimSun" w:hAnsiTheme="majorBidi" w:cstheme="majorBidi" w:hint="eastAsia"/>
          <w:sz w:val="24"/>
          <w:szCs w:val="24"/>
        </w:rPr>
        <w:t>.</w:t>
      </w:r>
      <w:r w:rsidRPr="00D629FA">
        <w:rPr>
          <w:rFonts w:asciiTheme="majorBidi" w:eastAsia="SimSun" w:hAnsiTheme="majorBidi" w:cstheme="majorBidi"/>
          <w:sz w:val="24"/>
          <w:szCs w:val="24"/>
        </w:rPr>
        <w:t xml:space="preserve"> Arren Bennet Lawrence </w:t>
      </w:r>
      <w:r>
        <w:rPr>
          <w:rFonts w:asciiTheme="majorBidi" w:eastAsia="SimSun" w:hAnsiTheme="majorBidi" w:cstheme="majorBidi" w:hint="eastAsia"/>
          <w:sz w:val="24"/>
          <w:szCs w:val="24"/>
        </w:rPr>
        <w:t>(</w:t>
      </w:r>
      <w:r w:rsidRPr="00D629FA">
        <w:rPr>
          <w:rFonts w:asciiTheme="majorBidi" w:eastAsia="SimSun" w:hAnsiTheme="majorBidi" w:cstheme="majorBidi"/>
          <w:sz w:val="24"/>
          <w:szCs w:val="24"/>
        </w:rPr>
        <w:t>Bangalore: SAIACS Press, 2018</w:t>
      </w:r>
      <w:r w:rsidR="00B8256A">
        <w:rPr>
          <w:rFonts w:asciiTheme="majorBidi" w:eastAsia="SimSun" w:hAnsiTheme="majorBidi" w:cstheme="majorBidi" w:hint="eastAsia"/>
          <w:sz w:val="24"/>
          <w:szCs w:val="24"/>
        </w:rPr>
        <w:t>): 372.</w:t>
      </w:r>
    </w:p>
  </w:endnote>
  <w:endnote w:id="6">
    <w:p w14:paraId="0EA9E70B" w14:textId="2B4285EB" w:rsidR="00B8256A" w:rsidRDefault="00B8256A">
      <w:pPr>
        <w:pStyle w:val="EndnoteText"/>
      </w:pPr>
      <w:r>
        <w:rPr>
          <w:rStyle w:val="EndnoteReference"/>
        </w:rPr>
        <w:endnoteRef/>
      </w:r>
      <w:r>
        <w:t xml:space="preserve"> </w:t>
      </w:r>
      <w:r w:rsidRPr="00E56BDB">
        <w:rPr>
          <w:rFonts w:ascii="SimSun" w:eastAsia="SimSun" w:hAnsi="SimSun" w:hint="eastAsia"/>
          <w:sz w:val="24"/>
          <w:szCs w:val="24"/>
        </w:rPr>
        <w:t>同上</w:t>
      </w:r>
      <w:r>
        <w:rPr>
          <w:rFonts w:ascii="SimSun" w:eastAsia="SimSun" w:hAnsi="SimSun" w:hint="eastAsia"/>
          <w:sz w:val="24"/>
          <w:szCs w:val="24"/>
        </w:rPr>
        <w:t>381</w:t>
      </w:r>
      <w:r w:rsidRPr="00E56BDB">
        <w:rPr>
          <w:rFonts w:ascii="SimSun" w:eastAsia="SimSun" w:hAnsi="SimSun" w:hint="eastAsia"/>
          <w:sz w:val="24"/>
          <w:szCs w:val="24"/>
        </w:rPr>
        <w:t>页。</w:t>
      </w:r>
    </w:p>
  </w:endnote>
  <w:endnote w:id="7">
    <w:p w14:paraId="1E33AA0D" w14:textId="72DDB88A" w:rsidR="00B8256A" w:rsidRPr="002D5427" w:rsidRDefault="00B8256A" w:rsidP="002D5427">
      <w:pPr>
        <w:spacing w:after="0" w:line="240" w:lineRule="auto"/>
      </w:pPr>
      <w:r>
        <w:rPr>
          <w:rStyle w:val="EndnoteReference"/>
        </w:rPr>
        <w:endnoteRef/>
      </w:r>
      <w:r>
        <w:t xml:space="preserve"> </w:t>
      </w:r>
      <w:r w:rsidR="00B021B6" w:rsidRPr="00A327A8">
        <w:rPr>
          <w:rFonts w:asciiTheme="majorBidi" w:eastAsia="SimSun" w:hAnsiTheme="majorBidi" w:cstheme="majorBidi"/>
          <w:sz w:val="24"/>
          <w:szCs w:val="24"/>
          <w:lang w:val="en-US"/>
        </w:rPr>
        <w:t xml:space="preserve">R.S. </w:t>
      </w:r>
      <w:proofErr w:type="spellStart"/>
      <w:r w:rsidRPr="00BB0C74">
        <w:rPr>
          <w:rFonts w:asciiTheme="majorBidi" w:eastAsia="SimSun" w:hAnsiTheme="majorBidi" w:cstheme="majorBidi"/>
          <w:sz w:val="24"/>
          <w:szCs w:val="24"/>
          <w:lang w:val="en-US"/>
        </w:rPr>
        <w:t>Sugirtharajah</w:t>
      </w:r>
      <w:proofErr w:type="spellEnd"/>
      <w:r w:rsidRPr="00BB0C74">
        <w:rPr>
          <w:rFonts w:asciiTheme="majorBidi" w:eastAsia="SimSun" w:hAnsiTheme="majorBidi" w:cstheme="majorBidi"/>
          <w:sz w:val="24"/>
          <w:szCs w:val="24"/>
          <w:lang w:val="en-US"/>
        </w:rPr>
        <w:t xml:space="preserve">, </w:t>
      </w:r>
      <w:r w:rsidRPr="00BB0C74">
        <w:rPr>
          <w:rFonts w:asciiTheme="majorBidi" w:eastAsia="SimSun" w:hAnsiTheme="majorBidi" w:cstheme="majorBidi"/>
          <w:i/>
          <w:iCs/>
          <w:sz w:val="24"/>
          <w:szCs w:val="24"/>
          <w:lang w:val="en-US"/>
        </w:rPr>
        <w:t>Postcolonial Criticism and Biblical Interpretation</w:t>
      </w:r>
      <w:r w:rsidR="002D5427">
        <w:rPr>
          <w:rFonts w:asciiTheme="majorBidi" w:eastAsia="SimSun" w:hAnsiTheme="majorBidi" w:cstheme="majorBidi"/>
          <w:sz w:val="24"/>
          <w:szCs w:val="24"/>
          <w:lang w:val="en-US"/>
        </w:rPr>
        <w:t xml:space="preserve"> (</w:t>
      </w:r>
      <w:r w:rsidR="00DF7BBD">
        <w:rPr>
          <w:rFonts w:asciiTheme="majorBidi" w:eastAsia="SimSun" w:hAnsiTheme="majorBidi" w:cstheme="majorBidi" w:hint="eastAsia"/>
          <w:sz w:val="24"/>
          <w:szCs w:val="24"/>
          <w:lang w:val="en-US"/>
        </w:rPr>
        <w:t xml:space="preserve">London: Oxford University Press, </w:t>
      </w:r>
      <w:r w:rsidR="00DF7BBD">
        <w:rPr>
          <w:rFonts w:asciiTheme="majorBidi" w:eastAsia="SimSun" w:hAnsiTheme="majorBidi" w:cstheme="majorBidi"/>
          <w:sz w:val="24"/>
          <w:szCs w:val="24"/>
          <w:lang w:val="en-US"/>
        </w:rPr>
        <w:t>200</w:t>
      </w:r>
      <w:r w:rsidR="00C60676">
        <w:rPr>
          <w:rFonts w:asciiTheme="majorBidi" w:eastAsia="SimSun" w:hAnsiTheme="majorBidi" w:cstheme="majorBidi"/>
          <w:sz w:val="24"/>
          <w:szCs w:val="24"/>
          <w:lang w:val="en-US"/>
        </w:rPr>
        <w:t>2</w:t>
      </w:r>
      <w:r w:rsidR="002D5427">
        <w:rPr>
          <w:rFonts w:asciiTheme="majorBidi" w:eastAsia="SimSun" w:hAnsiTheme="majorBidi" w:cstheme="majorBidi"/>
          <w:sz w:val="24"/>
          <w:szCs w:val="24"/>
          <w:lang w:val="en-US"/>
        </w:rPr>
        <w:t>)</w:t>
      </w:r>
      <w:r w:rsidR="00DF7BBD">
        <w:rPr>
          <w:rFonts w:asciiTheme="majorBidi" w:eastAsia="SimSun" w:hAnsiTheme="majorBidi" w:cstheme="majorBidi"/>
          <w:sz w:val="24"/>
          <w:szCs w:val="24"/>
          <w:lang w:val="en-US"/>
        </w:rPr>
        <w:t>: 100.</w:t>
      </w:r>
    </w:p>
  </w:endnote>
  <w:endnote w:id="8">
    <w:p w14:paraId="3F235E06" w14:textId="443E5234" w:rsidR="002D5427" w:rsidRPr="002D5427" w:rsidRDefault="002D5427" w:rsidP="00B021B6">
      <w:pPr>
        <w:spacing w:after="0" w:line="240" w:lineRule="auto"/>
        <w:rPr>
          <w:lang w:val="en-US"/>
        </w:rPr>
      </w:pPr>
      <w:r>
        <w:rPr>
          <w:rStyle w:val="EndnoteReference"/>
        </w:rPr>
        <w:endnoteRef/>
      </w:r>
      <w:r>
        <w:t xml:space="preserve"> </w:t>
      </w:r>
      <w:r w:rsidR="00B021B6" w:rsidRPr="00A327A8">
        <w:rPr>
          <w:rFonts w:asciiTheme="majorBidi" w:eastAsia="SimSun" w:hAnsiTheme="majorBidi" w:cstheme="majorBidi"/>
          <w:sz w:val="24"/>
          <w:szCs w:val="24"/>
          <w:lang w:val="en-US"/>
        </w:rPr>
        <w:t xml:space="preserve">R.S. </w:t>
      </w:r>
      <w:proofErr w:type="spellStart"/>
      <w:r w:rsidRPr="00AC28FC">
        <w:rPr>
          <w:rFonts w:asciiTheme="majorBidi" w:eastAsia="SimSun" w:hAnsiTheme="majorBidi" w:cstheme="majorBidi"/>
          <w:sz w:val="24"/>
          <w:szCs w:val="24"/>
          <w:lang w:val="en-US"/>
        </w:rPr>
        <w:t>Sugirtharajah</w:t>
      </w:r>
      <w:proofErr w:type="spellEnd"/>
      <w:r w:rsidRPr="00AC28FC">
        <w:rPr>
          <w:rFonts w:asciiTheme="majorBidi" w:eastAsia="SimSun" w:hAnsiTheme="majorBidi" w:cstheme="majorBidi"/>
          <w:sz w:val="24"/>
          <w:szCs w:val="24"/>
          <w:lang w:val="en-US"/>
        </w:rPr>
        <w:t xml:space="preserve">, </w:t>
      </w:r>
      <w:r w:rsidRPr="00AC28FC">
        <w:rPr>
          <w:rFonts w:asciiTheme="majorBidi" w:eastAsia="SimSun" w:hAnsiTheme="majorBidi" w:cstheme="majorBidi"/>
          <w:i/>
          <w:iCs/>
          <w:sz w:val="24"/>
          <w:szCs w:val="24"/>
          <w:lang w:val="en-US"/>
        </w:rPr>
        <w:t>The Bible and the Third World</w:t>
      </w:r>
      <w:r w:rsidRPr="00AC28FC">
        <w:rPr>
          <w:rFonts w:asciiTheme="majorBidi" w:eastAsia="SimSun" w:hAnsiTheme="majorBidi" w:cstheme="majorBidi"/>
          <w:sz w:val="24"/>
          <w:szCs w:val="24"/>
          <w:lang w:val="en-US"/>
        </w:rPr>
        <w:t xml:space="preserve"> </w:t>
      </w:r>
      <w:r>
        <w:rPr>
          <w:rFonts w:asciiTheme="majorBidi" w:eastAsia="SimSun" w:hAnsiTheme="majorBidi" w:cstheme="majorBidi"/>
          <w:sz w:val="24"/>
          <w:szCs w:val="24"/>
          <w:lang w:val="en-US"/>
        </w:rPr>
        <w:t>(New York: Cambridge University Press, 2001):</w:t>
      </w:r>
      <w:r w:rsidRPr="00AC28FC">
        <w:rPr>
          <w:rFonts w:asciiTheme="majorBidi" w:eastAsia="SimSun" w:hAnsiTheme="majorBidi" w:cstheme="majorBidi"/>
          <w:sz w:val="24"/>
          <w:szCs w:val="24"/>
          <w:lang w:val="en-US"/>
        </w:rPr>
        <w:t xml:space="preserve"> 262.</w:t>
      </w:r>
    </w:p>
  </w:endnote>
  <w:endnote w:id="9">
    <w:p w14:paraId="796FD9DF" w14:textId="398E3443" w:rsidR="00C60676" w:rsidRPr="00C60676" w:rsidRDefault="00C60676" w:rsidP="00B021B6">
      <w:pPr>
        <w:spacing w:after="0" w:line="240" w:lineRule="auto"/>
        <w:rPr>
          <w:lang w:val="en-US"/>
        </w:rPr>
      </w:pPr>
      <w:r>
        <w:rPr>
          <w:rStyle w:val="EndnoteReference"/>
        </w:rPr>
        <w:endnoteRef/>
      </w:r>
      <w:r>
        <w:t xml:space="preserve"> </w:t>
      </w:r>
      <w:r w:rsidR="00B021B6" w:rsidRPr="00A327A8">
        <w:rPr>
          <w:rFonts w:asciiTheme="majorBidi" w:eastAsia="SimSun" w:hAnsiTheme="majorBidi" w:cstheme="majorBidi"/>
          <w:sz w:val="24"/>
          <w:szCs w:val="24"/>
          <w:lang w:val="en-US"/>
        </w:rPr>
        <w:t xml:space="preserve">R.S. </w:t>
      </w:r>
      <w:proofErr w:type="spellStart"/>
      <w:r w:rsidRPr="00BB0C74">
        <w:rPr>
          <w:rFonts w:asciiTheme="majorBidi" w:eastAsia="SimSun" w:hAnsiTheme="majorBidi" w:cstheme="majorBidi"/>
          <w:sz w:val="24"/>
          <w:szCs w:val="24"/>
          <w:lang w:val="en-US"/>
        </w:rPr>
        <w:t>Sugirtharajah</w:t>
      </w:r>
      <w:proofErr w:type="spellEnd"/>
      <w:r w:rsidRPr="00BB0C74">
        <w:rPr>
          <w:rFonts w:asciiTheme="majorBidi" w:eastAsia="SimSun" w:hAnsiTheme="majorBidi" w:cstheme="majorBidi"/>
          <w:sz w:val="24"/>
          <w:szCs w:val="24"/>
          <w:lang w:val="en-US"/>
        </w:rPr>
        <w:t xml:space="preserve">, </w:t>
      </w:r>
      <w:r w:rsidRPr="00BB0C74">
        <w:rPr>
          <w:rFonts w:asciiTheme="majorBidi" w:eastAsia="SimSun" w:hAnsiTheme="majorBidi" w:cstheme="majorBidi"/>
          <w:i/>
          <w:iCs/>
          <w:sz w:val="24"/>
          <w:szCs w:val="24"/>
          <w:lang w:val="en-US"/>
        </w:rPr>
        <w:t>Postcolonial Criticism and Biblical Interpretation</w:t>
      </w:r>
      <w:r w:rsidRPr="00BB0C74">
        <w:rPr>
          <w:rFonts w:asciiTheme="majorBidi" w:eastAsia="SimSun" w:hAnsiTheme="majorBidi" w:cstheme="majorBidi"/>
          <w:sz w:val="24"/>
          <w:szCs w:val="24"/>
          <w:lang w:val="en-US"/>
        </w:rPr>
        <w:t xml:space="preserve"> </w:t>
      </w:r>
      <w:r>
        <w:rPr>
          <w:rFonts w:asciiTheme="majorBidi" w:eastAsia="SimSun" w:hAnsiTheme="majorBidi" w:cstheme="majorBidi"/>
          <w:sz w:val="24"/>
          <w:szCs w:val="24"/>
        </w:rPr>
        <w:t xml:space="preserve">(London: Oxford University Press, 2002): </w:t>
      </w:r>
      <w:r w:rsidRPr="00BB0C74">
        <w:rPr>
          <w:rFonts w:asciiTheme="majorBidi" w:eastAsia="SimSun" w:hAnsiTheme="majorBidi" w:cstheme="majorBidi"/>
          <w:sz w:val="24"/>
          <w:szCs w:val="24"/>
          <w:lang w:val="en-US"/>
        </w:rPr>
        <w:t>25.</w:t>
      </w:r>
    </w:p>
  </w:endnote>
  <w:endnote w:id="10">
    <w:p w14:paraId="4ADE3B3A" w14:textId="12DAD7C1" w:rsidR="00C60676" w:rsidRPr="00C60676" w:rsidRDefault="00C60676" w:rsidP="00B021B6">
      <w:pPr>
        <w:spacing w:after="0" w:line="240" w:lineRule="auto"/>
        <w:rPr>
          <w:lang w:val="en-US"/>
        </w:rPr>
      </w:pPr>
      <w:r>
        <w:rPr>
          <w:rStyle w:val="EndnoteReference"/>
        </w:rPr>
        <w:endnoteRef/>
      </w:r>
      <w:r>
        <w:t xml:space="preserve"> </w:t>
      </w:r>
      <w:r w:rsidR="00B021B6" w:rsidRPr="00A327A8">
        <w:rPr>
          <w:rFonts w:asciiTheme="majorBidi" w:eastAsia="SimSun" w:hAnsiTheme="majorBidi" w:cstheme="majorBidi"/>
          <w:sz w:val="24"/>
          <w:szCs w:val="24"/>
          <w:lang w:val="en-US"/>
        </w:rPr>
        <w:t xml:space="preserve">R.S. </w:t>
      </w:r>
      <w:proofErr w:type="spellStart"/>
      <w:r w:rsidRPr="002D3F2C">
        <w:rPr>
          <w:rFonts w:asciiTheme="majorBidi" w:eastAsia="SimSun" w:hAnsiTheme="majorBidi" w:cstheme="majorBidi"/>
          <w:sz w:val="24"/>
          <w:szCs w:val="24"/>
          <w:lang w:val="en-US"/>
        </w:rPr>
        <w:t>Sugirtharajah</w:t>
      </w:r>
      <w:proofErr w:type="spellEnd"/>
      <w:r w:rsidRPr="002D3F2C">
        <w:rPr>
          <w:rFonts w:asciiTheme="majorBidi" w:eastAsia="SimSun" w:hAnsiTheme="majorBidi" w:cstheme="majorBidi"/>
          <w:sz w:val="24"/>
          <w:szCs w:val="24"/>
          <w:lang w:val="en-US"/>
        </w:rPr>
        <w:t xml:space="preserve">, </w:t>
      </w:r>
      <w:r w:rsidRPr="002D3F2C">
        <w:rPr>
          <w:rFonts w:asciiTheme="majorBidi" w:eastAsia="SimSun" w:hAnsiTheme="majorBidi" w:cstheme="majorBidi"/>
          <w:i/>
          <w:iCs/>
          <w:sz w:val="24"/>
          <w:szCs w:val="24"/>
          <w:lang w:val="en-US"/>
        </w:rPr>
        <w:t>Asian Biblical Hermeneutics and Postcolonialism</w:t>
      </w:r>
      <w:r w:rsidR="004617FD">
        <w:rPr>
          <w:rFonts w:asciiTheme="majorBidi" w:eastAsia="SimSun" w:hAnsiTheme="majorBidi" w:cstheme="majorBidi"/>
          <w:sz w:val="24"/>
          <w:szCs w:val="24"/>
          <w:lang w:val="en-US"/>
        </w:rPr>
        <w:t xml:space="preserve"> (Maryknoll, NY: Orbis, 1998):</w:t>
      </w:r>
      <w:r w:rsidRPr="002D3F2C">
        <w:rPr>
          <w:rFonts w:asciiTheme="majorBidi" w:eastAsia="SimSun" w:hAnsiTheme="majorBidi" w:cstheme="majorBidi"/>
          <w:sz w:val="24"/>
          <w:szCs w:val="24"/>
          <w:lang w:val="en-US"/>
        </w:rPr>
        <w:t xml:space="preserve"> 119.</w:t>
      </w:r>
    </w:p>
  </w:endnote>
  <w:endnote w:id="11">
    <w:p w14:paraId="773709C8" w14:textId="42C18A3C" w:rsidR="00B021B6" w:rsidRPr="00B021B6" w:rsidRDefault="00B021B6" w:rsidP="00B021B6">
      <w:pPr>
        <w:spacing w:after="0" w:line="240" w:lineRule="auto"/>
        <w:rPr>
          <w:lang w:val="en-US"/>
        </w:rPr>
      </w:pPr>
      <w:r>
        <w:rPr>
          <w:rStyle w:val="EndnoteReference"/>
        </w:rPr>
        <w:endnoteRef/>
      </w:r>
      <w:r>
        <w:t xml:space="preserve"> </w:t>
      </w:r>
      <w:bookmarkStart w:id="15" w:name="_Hlk193114752"/>
      <w:r w:rsidRPr="00A327A8">
        <w:rPr>
          <w:rFonts w:asciiTheme="majorBidi" w:eastAsia="SimSun" w:hAnsiTheme="majorBidi" w:cstheme="majorBidi"/>
          <w:sz w:val="24"/>
          <w:szCs w:val="24"/>
          <w:lang w:val="en-US"/>
        </w:rPr>
        <w:t xml:space="preserve">R.S. </w:t>
      </w:r>
      <w:bookmarkEnd w:id="15"/>
      <w:proofErr w:type="spellStart"/>
      <w:r w:rsidRPr="00A327A8">
        <w:rPr>
          <w:rFonts w:asciiTheme="majorBidi" w:eastAsia="SimSun" w:hAnsiTheme="majorBidi" w:cstheme="majorBidi"/>
          <w:sz w:val="24"/>
          <w:szCs w:val="24"/>
          <w:lang w:val="en-US"/>
        </w:rPr>
        <w:t>Sugirtharajah</w:t>
      </w:r>
      <w:proofErr w:type="spellEnd"/>
      <w:r>
        <w:rPr>
          <w:rFonts w:asciiTheme="majorBidi" w:eastAsia="SimSun" w:hAnsiTheme="majorBidi" w:cstheme="majorBidi"/>
          <w:sz w:val="24"/>
          <w:szCs w:val="24"/>
          <w:lang w:val="en-US"/>
        </w:rPr>
        <w:t xml:space="preserve">, </w:t>
      </w:r>
      <w:r w:rsidRPr="00B021B6">
        <w:rPr>
          <w:rFonts w:asciiTheme="majorBidi" w:eastAsia="SimSun" w:hAnsiTheme="majorBidi" w:cstheme="majorBidi"/>
          <w:i/>
          <w:iCs/>
          <w:sz w:val="24"/>
          <w:szCs w:val="24"/>
          <w:lang w:val="en-US"/>
        </w:rPr>
        <w:t>A Postcolonial Commentary on the New Testament Writings</w:t>
      </w:r>
      <w:r>
        <w:rPr>
          <w:rFonts w:asciiTheme="majorBidi" w:eastAsia="SimSun" w:hAnsiTheme="majorBidi" w:cstheme="majorBidi"/>
          <w:sz w:val="24"/>
          <w:szCs w:val="24"/>
          <w:lang w:val="en-US"/>
        </w:rPr>
        <w:t xml:space="preserve"> </w:t>
      </w:r>
      <w:r>
        <w:rPr>
          <w:rFonts w:asciiTheme="majorBidi" w:eastAsia="SimSun" w:hAnsiTheme="majorBidi" w:cstheme="majorBidi" w:hint="eastAsia"/>
          <w:sz w:val="24"/>
          <w:szCs w:val="24"/>
          <w:lang w:val="en-US"/>
        </w:rPr>
        <w:t>(</w:t>
      </w:r>
      <w:r>
        <w:rPr>
          <w:rFonts w:asciiTheme="majorBidi" w:eastAsia="SimSun" w:hAnsiTheme="majorBidi" w:cstheme="majorBidi"/>
          <w:sz w:val="24"/>
          <w:szCs w:val="24"/>
          <w:lang w:val="en-US"/>
        </w:rPr>
        <w:t>London: Bloomsbury, 2009</w:t>
      </w:r>
      <w:r>
        <w:rPr>
          <w:rFonts w:asciiTheme="majorBidi" w:eastAsia="SimSun" w:hAnsiTheme="majorBidi" w:cstheme="majorBidi" w:hint="eastAsia"/>
          <w:sz w:val="24"/>
          <w:szCs w:val="24"/>
          <w:lang w:val="en-US"/>
        </w:rPr>
        <w:t>)</w:t>
      </w:r>
      <w:r>
        <w:rPr>
          <w:rFonts w:asciiTheme="majorBidi" w:eastAsia="SimSun" w:hAnsiTheme="majorBidi" w:cstheme="majorBidi"/>
          <w:sz w:val="24"/>
          <w:szCs w:val="24"/>
          <w:lang w:val="en-US"/>
        </w:rPr>
        <w:t>: 426-428</w:t>
      </w:r>
      <w:r>
        <w:rPr>
          <w:rFonts w:asciiTheme="majorBidi" w:eastAsia="SimSun" w:hAnsiTheme="majorBidi" w:cstheme="majorBidi" w:hint="eastAsia"/>
          <w:sz w:val="24"/>
          <w:szCs w:val="24"/>
          <w:lang w:val="en-US"/>
        </w:rPr>
        <w:t>.</w:t>
      </w:r>
    </w:p>
  </w:endnote>
  <w:endnote w:id="12">
    <w:p w14:paraId="5996EA2D" w14:textId="54E5C2B5" w:rsidR="00730A7C" w:rsidRDefault="00730A7C" w:rsidP="00C57971">
      <w:pPr>
        <w:spacing w:after="0" w:line="240" w:lineRule="auto"/>
      </w:pPr>
      <w:r>
        <w:rPr>
          <w:rStyle w:val="EndnoteReference"/>
        </w:rPr>
        <w:endnoteRef/>
      </w:r>
      <w:r>
        <w:t xml:space="preserve"> </w:t>
      </w:r>
      <w:r>
        <w:rPr>
          <w:rFonts w:asciiTheme="majorBidi" w:eastAsia="SimSun" w:hAnsiTheme="majorBidi" w:cstheme="majorBidi"/>
          <w:sz w:val="24"/>
          <w:szCs w:val="24"/>
          <w:lang w:val="en-US"/>
        </w:rPr>
        <w:t xml:space="preserve">Will Brooks, </w:t>
      </w:r>
      <w:r w:rsidRPr="009B53E5">
        <w:rPr>
          <w:rFonts w:asciiTheme="majorBidi" w:eastAsia="SimSun" w:hAnsiTheme="majorBidi" w:cstheme="majorBidi"/>
          <w:i/>
          <w:iCs/>
          <w:sz w:val="24"/>
          <w:szCs w:val="24"/>
          <w:lang w:val="en-US"/>
        </w:rPr>
        <w:t>Interpreting Scripture across Cultures</w:t>
      </w:r>
      <w:r>
        <w:rPr>
          <w:rFonts w:asciiTheme="majorBidi" w:eastAsia="SimSun" w:hAnsiTheme="majorBidi" w:cstheme="majorBidi"/>
          <w:sz w:val="24"/>
          <w:szCs w:val="24"/>
          <w:lang w:val="en-US"/>
        </w:rPr>
        <w:t xml:space="preserve"> </w:t>
      </w:r>
      <w:r>
        <w:rPr>
          <w:rFonts w:asciiTheme="majorBidi" w:eastAsia="SimSun" w:hAnsiTheme="majorBidi" w:cstheme="majorBidi"/>
          <w:sz w:val="24"/>
          <w:szCs w:val="24"/>
        </w:rPr>
        <w:t>(</w:t>
      </w:r>
      <w:r>
        <w:rPr>
          <w:rFonts w:asciiTheme="majorBidi" w:eastAsia="SimSun" w:hAnsiTheme="majorBidi" w:cstheme="majorBidi"/>
          <w:sz w:val="24"/>
          <w:szCs w:val="24"/>
          <w:lang w:val="en-US"/>
        </w:rPr>
        <w:t>Eugene, OR: Wipf &amp; Stock, 2022): 77-78.</w:t>
      </w:r>
    </w:p>
  </w:endnote>
  <w:endnote w:id="13">
    <w:p w14:paraId="41662EC2" w14:textId="7811909D" w:rsidR="00C57971" w:rsidRDefault="00C57971">
      <w:pPr>
        <w:pStyle w:val="EndnoteText"/>
      </w:pPr>
      <w:r>
        <w:rPr>
          <w:rStyle w:val="EndnoteReference"/>
        </w:rPr>
        <w:endnoteRef/>
      </w:r>
      <w:r>
        <w:t xml:space="preserve"> </w:t>
      </w:r>
      <w:r>
        <w:rPr>
          <w:rFonts w:asciiTheme="majorBidi" w:eastAsia="SimSun" w:hAnsiTheme="majorBidi" w:cstheme="majorBidi" w:hint="eastAsia"/>
          <w:sz w:val="24"/>
          <w:szCs w:val="24"/>
        </w:rPr>
        <w:t xml:space="preserve">K. K. Yeo, </w:t>
      </w:r>
      <w:r w:rsidRPr="00E35767">
        <w:rPr>
          <w:rFonts w:ascii="Times New Roman" w:eastAsia="DengXian" w:hAnsi="Times New Roman" w:cs="Times New Roman"/>
          <w:i/>
          <w:iCs/>
          <w:sz w:val="24"/>
          <w:szCs w:val="24"/>
          <w:lang w:val="en-US" w:bidi="he-IL"/>
        </w:rPr>
        <w:t>Musing with Confucius and Paul: Toward a Chinese Christian Theology</w:t>
      </w:r>
      <w:r w:rsidRPr="00CA02FB">
        <w:rPr>
          <w:rFonts w:ascii="Times New Roman" w:eastAsia="DengXian" w:hAnsi="Times New Roman" w:cs="Times New Roman"/>
          <w:sz w:val="24"/>
          <w:szCs w:val="24"/>
          <w:lang w:val="en-US" w:bidi="he-IL"/>
        </w:rPr>
        <w:t xml:space="preserve"> </w:t>
      </w:r>
      <w:r>
        <w:rPr>
          <w:rFonts w:ascii="Times New Roman" w:eastAsia="DengXian" w:hAnsi="Times New Roman" w:cs="Times New Roman"/>
          <w:sz w:val="24"/>
          <w:szCs w:val="24"/>
          <w:lang w:bidi="he-IL"/>
        </w:rPr>
        <w:t>(</w:t>
      </w:r>
      <w:r w:rsidRPr="00CA02FB">
        <w:rPr>
          <w:rFonts w:ascii="Times New Roman" w:eastAsia="DengXian" w:hAnsi="Times New Roman" w:cs="Times New Roman"/>
          <w:sz w:val="24"/>
          <w:szCs w:val="24"/>
          <w:lang w:val="en-US" w:bidi="he-IL"/>
        </w:rPr>
        <w:t>Eugene, OR: Cascade, 2008</w:t>
      </w:r>
      <w:r>
        <w:rPr>
          <w:rFonts w:ascii="Times New Roman" w:eastAsia="DengXian" w:hAnsi="Times New Roman" w:cs="Times New Roman"/>
          <w:sz w:val="24"/>
          <w:szCs w:val="24"/>
          <w:lang w:val="en-US" w:bidi="he-IL"/>
        </w:rPr>
        <w:t>): xvi.</w:t>
      </w:r>
    </w:p>
  </w:endnote>
  <w:endnote w:id="14">
    <w:p w14:paraId="4B7B64E9" w14:textId="122D6A84" w:rsidR="006F0BC5" w:rsidRDefault="006F0BC5">
      <w:pPr>
        <w:pStyle w:val="EndnoteText"/>
      </w:pPr>
      <w:r>
        <w:rPr>
          <w:rStyle w:val="EndnoteReference"/>
        </w:rPr>
        <w:endnoteRef/>
      </w:r>
      <w:r>
        <w:t xml:space="preserve"> </w:t>
      </w:r>
      <w:r w:rsidRPr="00E56BDB">
        <w:rPr>
          <w:rFonts w:ascii="SimSun" w:eastAsia="SimSun" w:hAnsi="SimSun" w:hint="eastAsia"/>
          <w:sz w:val="24"/>
          <w:szCs w:val="24"/>
        </w:rPr>
        <w:t>同上</w:t>
      </w:r>
      <w:r>
        <w:rPr>
          <w:rFonts w:asciiTheme="majorBidi" w:eastAsia="SimSun" w:hAnsiTheme="majorBidi" w:cstheme="majorBidi" w:hint="eastAsia"/>
          <w:sz w:val="24"/>
          <w:szCs w:val="24"/>
        </w:rPr>
        <w:t>xvii</w:t>
      </w:r>
      <w:r w:rsidRPr="00E56BDB">
        <w:rPr>
          <w:rFonts w:ascii="SimSun" w:eastAsia="SimSun" w:hAnsi="SimSun" w:hint="eastAsia"/>
          <w:sz w:val="24"/>
          <w:szCs w:val="24"/>
        </w:rPr>
        <w:t>页。</w:t>
      </w:r>
    </w:p>
  </w:endnote>
  <w:endnote w:id="15">
    <w:p w14:paraId="0C6BCBDC" w14:textId="6C9DFDFC" w:rsidR="00D02E7C" w:rsidRDefault="00D02E7C">
      <w:pPr>
        <w:pStyle w:val="EndnoteText"/>
      </w:pPr>
      <w:r>
        <w:rPr>
          <w:rStyle w:val="EndnoteReference"/>
        </w:rPr>
        <w:endnoteRef/>
      </w:r>
      <w:r>
        <w:t xml:space="preserve"> </w:t>
      </w:r>
      <w:r w:rsidRPr="00E56BDB">
        <w:rPr>
          <w:rFonts w:ascii="SimSun" w:eastAsia="SimSun" w:hAnsi="SimSun" w:hint="eastAsia"/>
          <w:sz w:val="24"/>
          <w:szCs w:val="24"/>
        </w:rPr>
        <w:t>同上</w:t>
      </w:r>
      <w:r>
        <w:rPr>
          <w:rFonts w:asciiTheme="majorBidi" w:eastAsia="SimSun" w:hAnsiTheme="majorBidi" w:cstheme="majorBidi" w:hint="eastAsia"/>
          <w:sz w:val="24"/>
          <w:szCs w:val="24"/>
        </w:rPr>
        <w:t>xx</w:t>
      </w:r>
      <w:r w:rsidRPr="00E56BDB">
        <w:rPr>
          <w:rFonts w:ascii="SimSun" w:eastAsia="SimSun" w:hAnsi="SimSun" w:hint="eastAsia"/>
          <w:sz w:val="24"/>
          <w:szCs w:val="24"/>
        </w:rPr>
        <w:t>页。</w:t>
      </w:r>
    </w:p>
  </w:endnote>
  <w:endnote w:id="16">
    <w:p w14:paraId="11CEE415" w14:textId="76BE8A55" w:rsidR="003A18CB" w:rsidRDefault="003A18CB">
      <w:pPr>
        <w:pStyle w:val="EndnoteText"/>
      </w:pPr>
      <w:r>
        <w:rPr>
          <w:rStyle w:val="EndnoteReference"/>
        </w:rPr>
        <w:endnoteRef/>
      </w:r>
      <w:r>
        <w:t xml:space="preserve"> </w:t>
      </w:r>
      <w:bookmarkStart w:id="22" w:name="_Hlk193201362"/>
      <w:r w:rsidRPr="00E56BDB">
        <w:rPr>
          <w:rFonts w:ascii="SimSun" w:eastAsia="SimSun" w:hAnsi="SimSun" w:hint="eastAsia"/>
          <w:sz w:val="24"/>
          <w:szCs w:val="24"/>
        </w:rPr>
        <w:t>同上</w:t>
      </w:r>
      <w:r>
        <w:rPr>
          <w:rFonts w:asciiTheme="majorBidi" w:eastAsia="SimSun" w:hAnsiTheme="majorBidi" w:cstheme="majorBidi" w:hint="eastAsia"/>
          <w:sz w:val="24"/>
          <w:szCs w:val="24"/>
        </w:rPr>
        <w:t>404</w:t>
      </w:r>
      <w:r w:rsidRPr="00E56BDB">
        <w:rPr>
          <w:rFonts w:ascii="SimSun" w:eastAsia="SimSun" w:hAnsi="SimSun" w:hint="eastAsia"/>
          <w:sz w:val="24"/>
          <w:szCs w:val="24"/>
        </w:rPr>
        <w:t>页</w:t>
      </w:r>
      <w:r>
        <w:rPr>
          <w:rFonts w:ascii="SimSun" w:eastAsia="SimSun" w:hAnsi="SimSun" w:hint="eastAsia"/>
          <w:sz w:val="24"/>
          <w:szCs w:val="24"/>
        </w:rPr>
        <w:t>。</w:t>
      </w:r>
      <w:bookmarkEnd w:id="22"/>
    </w:p>
  </w:endnote>
  <w:endnote w:id="17">
    <w:p w14:paraId="43F429A0" w14:textId="4F5B7CF7" w:rsidR="00772CE4" w:rsidRPr="00772CE4" w:rsidRDefault="00772CE4">
      <w:pPr>
        <w:pStyle w:val="EndnoteText"/>
        <w:rPr>
          <w:rFonts w:asciiTheme="majorBidi" w:hAnsiTheme="majorBidi" w:cstheme="majorBidi"/>
          <w:sz w:val="24"/>
          <w:szCs w:val="24"/>
        </w:rPr>
      </w:pPr>
      <w:r>
        <w:rPr>
          <w:rStyle w:val="EndnoteReference"/>
        </w:rPr>
        <w:endnoteRef/>
      </w:r>
      <w:r>
        <w:t xml:space="preserve"> </w:t>
      </w:r>
      <w:r>
        <w:rPr>
          <w:rFonts w:asciiTheme="majorBidi" w:hAnsiTheme="majorBidi" w:cstheme="majorBidi" w:hint="eastAsia"/>
          <w:sz w:val="24"/>
          <w:szCs w:val="24"/>
        </w:rPr>
        <w:t>K. K. Y</w:t>
      </w:r>
      <w:r w:rsidRPr="00772CE4">
        <w:rPr>
          <w:rFonts w:asciiTheme="majorBidi" w:hAnsiTheme="majorBidi" w:cstheme="majorBidi"/>
          <w:sz w:val="24"/>
          <w:szCs w:val="24"/>
        </w:rPr>
        <w:t>eo, Rhetorical Interaction in 1 Corinthians 8 and 10,</w:t>
      </w:r>
      <w:r>
        <w:rPr>
          <w:rFonts w:asciiTheme="majorBidi" w:hAnsiTheme="majorBidi" w:cstheme="majorBidi" w:hint="eastAsia"/>
          <w:sz w:val="24"/>
          <w:szCs w:val="24"/>
        </w:rPr>
        <w:t xml:space="preserve"> </w:t>
      </w:r>
      <w:r w:rsidRPr="00772CE4">
        <w:rPr>
          <w:rFonts w:asciiTheme="majorBidi" w:hAnsiTheme="majorBidi" w:cstheme="majorBidi"/>
          <w:i/>
          <w:iCs/>
          <w:sz w:val="24"/>
          <w:szCs w:val="24"/>
        </w:rPr>
        <w:t>Biblical Interpretation</w:t>
      </w:r>
      <w:r w:rsidRPr="00772CE4">
        <w:rPr>
          <w:rFonts w:asciiTheme="majorBidi" w:hAnsiTheme="majorBidi" w:cstheme="majorBidi"/>
          <w:sz w:val="24"/>
          <w:szCs w:val="24"/>
        </w:rPr>
        <w:t xml:space="preserve"> 9 </w:t>
      </w:r>
      <w:r>
        <w:rPr>
          <w:rFonts w:asciiTheme="majorBidi" w:hAnsiTheme="majorBidi" w:cstheme="majorBidi" w:hint="eastAsia"/>
          <w:sz w:val="24"/>
          <w:szCs w:val="24"/>
        </w:rPr>
        <w:t>(</w:t>
      </w:r>
      <w:r w:rsidRPr="00772CE4">
        <w:rPr>
          <w:rFonts w:asciiTheme="majorBidi" w:hAnsiTheme="majorBidi" w:cstheme="majorBidi"/>
          <w:sz w:val="24"/>
          <w:szCs w:val="24"/>
        </w:rPr>
        <w:t>New York: Brill, 1995</w:t>
      </w:r>
      <w:r>
        <w:rPr>
          <w:rFonts w:asciiTheme="majorBidi" w:hAnsiTheme="majorBidi" w:cstheme="majorBidi" w:hint="eastAsia"/>
          <w:sz w:val="24"/>
          <w:szCs w:val="24"/>
        </w:rPr>
        <w:t>):</w:t>
      </w:r>
      <w:r w:rsidRPr="00772CE4">
        <w:rPr>
          <w:rFonts w:asciiTheme="majorBidi" w:hAnsiTheme="majorBidi" w:cstheme="majorBidi"/>
          <w:sz w:val="24"/>
          <w:szCs w:val="24"/>
        </w:rPr>
        <w:t xml:space="preserve"> 16.</w:t>
      </w:r>
    </w:p>
  </w:endnote>
  <w:endnote w:id="18">
    <w:p w14:paraId="3453EA6B" w14:textId="0BE14A0F" w:rsidR="003E4F4F" w:rsidRDefault="003E4F4F" w:rsidP="00156B9C">
      <w:pPr>
        <w:spacing w:after="0" w:line="240" w:lineRule="auto"/>
      </w:pPr>
      <w:r>
        <w:rPr>
          <w:rStyle w:val="EndnoteReference"/>
        </w:rPr>
        <w:endnoteRef/>
      </w:r>
      <w:r>
        <w:t xml:space="preserve"> </w:t>
      </w:r>
      <w:r>
        <w:rPr>
          <w:rFonts w:asciiTheme="majorBidi" w:eastAsia="SimSun" w:hAnsiTheme="majorBidi" w:cstheme="majorBidi"/>
          <w:sz w:val="24"/>
          <w:szCs w:val="24"/>
          <w:lang w:val="en-US"/>
        </w:rPr>
        <w:t xml:space="preserve">Yeo, </w:t>
      </w:r>
      <w:r w:rsidRPr="00CA02FB">
        <w:rPr>
          <w:rFonts w:asciiTheme="majorBidi" w:eastAsia="SimSun" w:hAnsiTheme="majorBidi" w:cstheme="majorBidi"/>
          <w:sz w:val="24"/>
          <w:szCs w:val="24"/>
          <w:lang w:val="en-US"/>
        </w:rPr>
        <w:t>C</w:t>
      </w:r>
      <w:r>
        <w:rPr>
          <w:rFonts w:asciiTheme="majorBidi" w:eastAsia="SimSun" w:hAnsiTheme="majorBidi" w:cstheme="majorBidi"/>
          <w:sz w:val="24"/>
          <w:szCs w:val="24"/>
          <w:lang w:val="en-US"/>
        </w:rPr>
        <w:t xml:space="preserve">ulture and </w:t>
      </w:r>
      <w:r w:rsidRPr="00CA02FB">
        <w:rPr>
          <w:rFonts w:asciiTheme="majorBidi" w:eastAsia="SimSun" w:hAnsiTheme="majorBidi" w:cstheme="majorBidi"/>
          <w:sz w:val="24"/>
          <w:szCs w:val="24"/>
          <w:lang w:val="en-US"/>
        </w:rPr>
        <w:t>I</w:t>
      </w:r>
      <w:r>
        <w:rPr>
          <w:rFonts w:asciiTheme="majorBidi" w:eastAsia="SimSun" w:hAnsiTheme="majorBidi" w:cstheme="majorBidi"/>
          <w:sz w:val="24"/>
          <w:szCs w:val="24"/>
          <w:lang w:val="en-US"/>
        </w:rPr>
        <w:t xml:space="preserve">ntersubjectivity as </w:t>
      </w:r>
      <w:r w:rsidRPr="00CA02FB">
        <w:rPr>
          <w:rFonts w:asciiTheme="majorBidi" w:eastAsia="SimSun" w:hAnsiTheme="majorBidi" w:cstheme="majorBidi"/>
          <w:sz w:val="24"/>
          <w:szCs w:val="24"/>
          <w:lang w:val="en-US"/>
        </w:rPr>
        <w:t>C</w:t>
      </w:r>
      <w:r>
        <w:rPr>
          <w:rFonts w:asciiTheme="majorBidi" w:eastAsia="SimSun" w:hAnsiTheme="majorBidi" w:cstheme="majorBidi"/>
          <w:sz w:val="24"/>
          <w:szCs w:val="24"/>
          <w:lang w:val="en-US"/>
        </w:rPr>
        <w:t xml:space="preserve">riteria for </w:t>
      </w:r>
      <w:r w:rsidRPr="00CA02FB">
        <w:rPr>
          <w:rFonts w:asciiTheme="majorBidi" w:eastAsia="SimSun" w:hAnsiTheme="majorBidi" w:cstheme="majorBidi"/>
          <w:sz w:val="24"/>
          <w:szCs w:val="24"/>
          <w:lang w:val="en-US"/>
        </w:rPr>
        <w:t>N</w:t>
      </w:r>
      <w:r>
        <w:rPr>
          <w:rFonts w:asciiTheme="majorBidi" w:eastAsia="SimSun" w:hAnsiTheme="majorBidi" w:cstheme="majorBidi"/>
          <w:sz w:val="24"/>
          <w:szCs w:val="24"/>
          <w:lang w:val="en-US"/>
        </w:rPr>
        <w:t>egotiating</w:t>
      </w:r>
      <w:r w:rsidRPr="00CA02FB">
        <w:rPr>
          <w:rFonts w:asciiTheme="majorBidi" w:eastAsia="SimSun" w:hAnsiTheme="majorBidi" w:cstheme="majorBidi"/>
          <w:sz w:val="24"/>
          <w:szCs w:val="24"/>
          <w:lang w:val="en-US"/>
        </w:rPr>
        <w:t xml:space="preserve"> M</w:t>
      </w:r>
      <w:r>
        <w:rPr>
          <w:rFonts w:asciiTheme="majorBidi" w:eastAsia="SimSun" w:hAnsiTheme="majorBidi" w:cstheme="majorBidi"/>
          <w:sz w:val="24"/>
          <w:szCs w:val="24"/>
          <w:lang w:val="en-US"/>
        </w:rPr>
        <w:t xml:space="preserve">eanings in </w:t>
      </w:r>
      <w:r w:rsidRPr="00CA02FB">
        <w:rPr>
          <w:rFonts w:asciiTheme="majorBidi" w:eastAsia="SimSun" w:hAnsiTheme="majorBidi" w:cstheme="majorBidi"/>
          <w:sz w:val="24"/>
          <w:szCs w:val="24"/>
          <w:lang w:val="en-US"/>
        </w:rPr>
        <w:t>C</w:t>
      </w:r>
      <w:r>
        <w:rPr>
          <w:rFonts w:asciiTheme="majorBidi" w:eastAsia="SimSun" w:hAnsiTheme="majorBidi" w:cstheme="majorBidi"/>
          <w:sz w:val="24"/>
          <w:szCs w:val="24"/>
          <w:lang w:val="en-US"/>
        </w:rPr>
        <w:t xml:space="preserve">ross-Cultural </w:t>
      </w:r>
      <w:r w:rsidRPr="00CA02FB">
        <w:rPr>
          <w:rFonts w:asciiTheme="majorBidi" w:eastAsia="SimSun" w:hAnsiTheme="majorBidi" w:cstheme="majorBidi"/>
          <w:sz w:val="24"/>
          <w:szCs w:val="24"/>
          <w:lang w:val="en-US"/>
        </w:rPr>
        <w:t>I</w:t>
      </w:r>
      <w:r>
        <w:rPr>
          <w:rFonts w:asciiTheme="majorBidi" w:eastAsia="SimSun" w:hAnsiTheme="majorBidi" w:cstheme="majorBidi"/>
          <w:sz w:val="24"/>
          <w:szCs w:val="24"/>
          <w:lang w:val="en-US"/>
        </w:rPr>
        <w:t xml:space="preserve">nterpretations, in </w:t>
      </w:r>
      <w:r w:rsidRPr="006B1AED">
        <w:rPr>
          <w:rFonts w:asciiTheme="majorBidi" w:eastAsia="SimSun" w:hAnsiTheme="majorBidi" w:cstheme="majorBidi"/>
          <w:i/>
          <w:iCs/>
          <w:sz w:val="24"/>
          <w:szCs w:val="24"/>
          <w:lang w:val="en-US"/>
        </w:rPr>
        <w:t>The Meanings We Choose: Hermeneutical Ethics, Indeterminacy and the Conflict of Interpretations</w:t>
      </w:r>
      <w:r w:rsidRPr="00CA02FB">
        <w:rPr>
          <w:rFonts w:asciiTheme="majorBidi" w:eastAsia="SimSun" w:hAnsiTheme="majorBidi" w:cstheme="majorBidi"/>
          <w:sz w:val="24"/>
          <w:szCs w:val="24"/>
          <w:lang w:val="en-US"/>
        </w:rPr>
        <w:t>, ed</w:t>
      </w:r>
      <w:r>
        <w:rPr>
          <w:rFonts w:asciiTheme="majorBidi" w:eastAsia="SimSun" w:hAnsiTheme="majorBidi" w:cstheme="majorBidi" w:hint="eastAsia"/>
          <w:sz w:val="24"/>
          <w:szCs w:val="24"/>
          <w:lang w:val="en-US"/>
        </w:rPr>
        <w:t>.</w:t>
      </w:r>
      <w:r w:rsidRPr="00CA02FB">
        <w:rPr>
          <w:rFonts w:asciiTheme="majorBidi" w:eastAsia="SimSun" w:hAnsiTheme="majorBidi" w:cstheme="majorBidi"/>
          <w:sz w:val="24"/>
          <w:szCs w:val="24"/>
          <w:lang w:val="en-US"/>
        </w:rPr>
        <w:t xml:space="preserve"> C</w:t>
      </w:r>
      <w:r>
        <w:rPr>
          <w:rFonts w:asciiTheme="majorBidi" w:eastAsia="SimSun" w:hAnsiTheme="majorBidi" w:cstheme="majorBidi" w:hint="eastAsia"/>
          <w:sz w:val="24"/>
          <w:szCs w:val="24"/>
          <w:lang w:val="en-US"/>
        </w:rPr>
        <w:t>.</w:t>
      </w:r>
      <w:r w:rsidRPr="00CA02FB">
        <w:rPr>
          <w:rFonts w:asciiTheme="majorBidi" w:eastAsia="SimSun" w:hAnsiTheme="majorBidi" w:cstheme="majorBidi"/>
          <w:sz w:val="24"/>
          <w:szCs w:val="24"/>
          <w:lang w:val="en-US"/>
        </w:rPr>
        <w:t xml:space="preserve"> H. Cosgrove </w:t>
      </w:r>
      <w:r>
        <w:rPr>
          <w:rFonts w:asciiTheme="majorBidi" w:eastAsia="SimSun" w:hAnsiTheme="majorBidi" w:cstheme="majorBidi" w:hint="eastAsia"/>
          <w:sz w:val="24"/>
          <w:szCs w:val="24"/>
          <w:lang w:val="en-US"/>
        </w:rPr>
        <w:t>(</w:t>
      </w:r>
      <w:r w:rsidRPr="00CA02FB">
        <w:rPr>
          <w:rFonts w:asciiTheme="majorBidi" w:eastAsia="SimSun" w:hAnsiTheme="majorBidi" w:cstheme="majorBidi"/>
          <w:sz w:val="24"/>
          <w:szCs w:val="24"/>
          <w:lang w:val="en-US"/>
        </w:rPr>
        <w:t>London: Continuum, T &amp; T Clark International, 2004</w:t>
      </w:r>
      <w:r>
        <w:rPr>
          <w:rFonts w:asciiTheme="majorBidi" w:eastAsia="SimSun" w:hAnsiTheme="majorBidi" w:cstheme="majorBidi" w:hint="eastAsia"/>
          <w:sz w:val="24"/>
          <w:szCs w:val="24"/>
          <w:lang w:val="en-US"/>
        </w:rPr>
        <w:t>): 83</w:t>
      </w:r>
      <w:r w:rsidRPr="00CA02FB">
        <w:rPr>
          <w:rFonts w:asciiTheme="majorBidi" w:eastAsia="SimSun" w:hAnsiTheme="majorBidi" w:cstheme="majorBidi"/>
          <w:sz w:val="24"/>
          <w:szCs w:val="24"/>
          <w:lang w:val="en-US"/>
        </w:rPr>
        <w:t>.</w:t>
      </w:r>
    </w:p>
  </w:endnote>
  <w:endnote w:id="19">
    <w:p w14:paraId="4471087A" w14:textId="03CD6842" w:rsidR="00156B9C" w:rsidRDefault="00156B9C">
      <w:pPr>
        <w:pStyle w:val="EndnoteText"/>
      </w:pPr>
      <w:r>
        <w:rPr>
          <w:rStyle w:val="EndnoteReference"/>
        </w:rPr>
        <w:endnoteRef/>
      </w:r>
      <w:r>
        <w:t xml:space="preserve"> </w:t>
      </w:r>
      <w:r w:rsidRPr="00E56BDB">
        <w:rPr>
          <w:rFonts w:ascii="SimSun" w:eastAsia="SimSun" w:hAnsi="SimSun" w:hint="eastAsia"/>
          <w:sz w:val="24"/>
          <w:szCs w:val="24"/>
        </w:rPr>
        <w:t>同上</w:t>
      </w:r>
      <w:r>
        <w:rPr>
          <w:rFonts w:ascii="SimSun" w:eastAsia="SimSun" w:hAnsi="SimSun" w:hint="eastAsia"/>
          <w:sz w:val="24"/>
          <w:szCs w:val="24"/>
        </w:rPr>
        <w:t>86</w:t>
      </w:r>
      <w:r w:rsidRPr="00E56BDB">
        <w:rPr>
          <w:rFonts w:ascii="SimSun" w:eastAsia="SimSun" w:hAnsi="SimSun" w:hint="eastAsia"/>
          <w:sz w:val="24"/>
          <w:szCs w:val="24"/>
        </w:rPr>
        <w:t>页</w:t>
      </w:r>
      <w:r>
        <w:rPr>
          <w:rFonts w:ascii="SimSun" w:eastAsia="SimSun" w:hAnsi="SimSun" w:hint="eastAsia"/>
          <w:sz w:val="24"/>
          <w:szCs w:val="24"/>
        </w:rPr>
        <w:t>。</w:t>
      </w:r>
    </w:p>
  </w:endnote>
  <w:endnote w:id="20">
    <w:p w14:paraId="167ACB35" w14:textId="3EED21B9" w:rsidR="00156B9C" w:rsidRDefault="00156B9C">
      <w:pPr>
        <w:pStyle w:val="EndnoteText"/>
      </w:pPr>
      <w:r>
        <w:rPr>
          <w:rStyle w:val="EndnoteReference"/>
        </w:rPr>
        <w:endnoteRef/>
      </w:r>
      <w:r>
        <w:t xml:space="preserve"> </w:t>
      </w:r>
      <w:r w:rsidRPr="00E56BDB">
        <w:rPr>
          <w:rFonts w:ascii="SimSun" w:eastAsia="SimSun" w:hAnsi="SimSun" w:hint="eastAsia"/>
          <w:sz w:val="24"/>
          <w:szCs w:val="24"/>
        </w:rPr>
        <w:t>同上</w:t>
      </w:r>
      <w:r>
        <w:rPr>
          <w:rFonts w:ascii="SimSun" w:eastAsia="SimSun" w:hAnsi="SimSun" w:hint="eastAsia"/>
          <w:sz w:val="24"/>
          <w:szCs w:val="24"/>
        </w:rPr>
        <w:t>87</w:t>
      </w:r>
      <w:r w:rsidRPr="00E56BDB">
        <w:rPr>
          <w:rFonts w:ascii="SimSun" w:eastAsia="SimSun" w:hAnsi="SimSun" w:hint="eastAsia"/>
          <w:sz w:val="24"/>
          <w:szCs w:val="24"/>
        </w:rPr>
        <w:t>页</w:t>
      </w:r>
      <w:r>
        <w:rPr>
          <w:rFonts w:ascii="SimSun" w:eastAsia="SimSun" w:hAnsi="SimSun" w:hint="eastAsia"/>
          <w:sz w:val="24"/>
          <w:szCs w:val="24"/>
        </w:rPr>
        <w:t>。</w:t>
      </w:r>
    </w:p>
  </w:endnote>
  <w:endnote w:id="21">
    <w:p w14:paraId="6E71A422" w14:textId="64E6CAD1" w:rsidR="00765C56" w:rsidRDefault="00765C56">
      <w:pPr>
        <w:pStyle w:val="EndnoteText"/>
      </w:pPr>
      <w:r>
        <w:rPr>
          <w:rStyle w:val="EndnoteReference"/>
        </w:rPr>
        <w:endnoteRef/>
      </w:r>
      <w:r>
        <w:t xml:space="preserve"> </w:t>
      </w:r>
      <w:r w:rsidRPr="00E56BDB">
        <w:rPr>
          <w:rFonts w:ascii="SimSun" w:eastAsia="SimSun" w:hAnsi="SimSun" w:hint="eastAsia"/>
          <w:sz w:val="24"/>
          <w:szCs w:val="24"/>
        </w:rPr>
        <w:t>同上</w:t>
      </w:r>
      <w:r>
        <w:rPr>
          <w:rFonts w:ascii="SimSun" w:eastAsia="SimSun" w:hAnsi="SimSun" w:hint="eastAsia"/>
          <w:sz w:val="24"/>
          <w:szCs w:val="24"/>
        </w:rPr>
        <w:t>88</w:t>
      </w:r>
      <w:r w:rsidRPr="00E56BDB">
        <w:rPr>
          <w:rFonts w:ascii="SimSun" w:eastAsia="SimSun" w:hAnsi="SimSun" w:hint="eastAsia"/>
          <w:sz w:val="24"/>
          <w:szCs w:val="24"/>
        </w:rPr>
        <w:t>页</w:t>
      </w:r>
      <w:r>
        <w:rPr>
          <w:rFonts w:ascii="SimSun" w:eastAsia="SimSun" w:hAnsi="SimSun" w:hint="eastAsia"/>
          <w:sz w:val="24"/>
          <w:szCs w:val="24"/>
        </w:rPr>
        <w:t>。</w:t>
      </w:r>
    </w:p>
  </w:endnote>
  <w:endnote w:id="22">
    <w:p w14:paraId="3366BB50" w14:textId="7C17EB59" w:rsidR="00906318" w:rsidRPr="00906318" w:rsidRDefault="00906318">
      <w:pPr>
        <w:pStyle w:val="EndnoteText"/>
        <w:rPr>
          <w:rFonts w:asciiTheme="majorBidi" w:hAnsiTheme="majorBidi" w:cstheme="majorBidi"/>
          <w:sz w:val="24"/>
          <w:szCs w:val="24"/>
        </w:rPr>
      </w:pPr>
      <w:r>
        <w:rPr>
          <w:rStyle w:val="EndnoteReference"/>
        </w:rPr>
        <w:endnoteRef/>
      </w:r>
      <w:r>
        <w:t xml:space="preserve"> </w:t>
      </w:r>
      <w:r w:rsidRPr="00906318">
        <w:rPr>
          <w:rFonts w:asciiTheme="majorBidi" w:hAnsiTheme="majorBidi" w:cstheme="majorBidi"/>
          <w:sz w:val="24"/>
          <w:szCs w:val="24"/>
        </w:rPr>
        <w:t xml:space="preserve">W. Brooks, </w:t>
      </w:r>
      <w:r w:rsidRPr="00906318">
        <w:rPr>
          <w:rFonts w:asciiTheme="majorBidi" w:hAnsiTheme="majorBidi" w:cstheme="majorBidi"/>
          <w:i/>
          <w:iCs/>
          <w:sz w:val="24"/>
          <w:szCs w:val="24"/>
        </w:rPr>
        <w:t>Interpreting Scripture Across Cultures</w:t>
      </w:r>
      <w:r w:rsidRPr="00906318">
        <w:rPr>
          <w:rFonts w:asciiTheme="majorBidi" w:hAnsiTheme="majorBidi" w:cstheme="majorBidi"/>
          <w:sz w:val="24"/>
          <w:szCs w:val="24"/>
        </w:rPr>
        <w:t xml:space="preserve"> (Eugen, OR: Wipf &amp; Stock, 2022): 89.</w:t>
      </w:r>
    </w:p>
  </w:endnote>
  <w:endnote w:id="23">
    <w:p w14:paraId="04A7529A" w14:textId="4F264198" w:rsidR="00E31AE5" w:rsidRDefault="00E31AE5">
      <w:pPr>
        <w:pStyle w:val="EndnoteText"/>
        <w:rPr>
          <w:rFonts w:ascii="SimSun" w:eastAsia="SimSun" w:hAnsi="SimSun"/>
          <w:sz w:val="24"/>
          <w:szCs w:val="24"/>
          <w:lang w:val="en-US"/>
        </w:rPr>
      </w:pPr>
      <w:r>
        <w:rPr>
          <w:rStyle w:val="EndnoteReference"/>
        </w:rPr>
        <w:endnoteRef/>
      </w:r>
      <w:r>
        <w:t xml:space="preserve"> </w:t>
      </w:r>
      <w:r w:rsidRPr="00E56BDB">
        <w:rPr>
          <w:rFonts w:ascii="SimSun" w:eastAsia="SimSun" w:hAnsi="SimSun" w:hint="eastAsia"/>
          <w:sz w:val="24"/>
          <w:szCs w:val="24"/>
        </w:rPr>
        <w:t>同上</w:t>
      </w:r>
      <w:r>
        <w:rPr>
          <w:rFonts w:ascii="SimSun" w:eastAsia="SimSun" w:hAnsi="SimSun" w:hint="eastAsia"/>
          <w:sz w:val="24"/>
          <w:szCs w:val="24"/>
        </w:rPr>
        <w:t>93</w:t>
      </w:r>
      <w:r w:rsidRPr="00E56BDB">
        <w:rPr>
          <w:rFonts w:ascii="SimSun" w:eastAsia="SimSun" w:hAnsi="SimSun" w:hint="eastAsia"/>
          <w:sz w:val="24"/>
          <w:szCs w:val="24"/>
        </w:rPr>
        <w:t>页</w:t>
      </w:r>
      <w:r>
        <w:rPr>
          <w:rFonts w:ascii="SimSun" w:eastAsia="SimSun" w:hAnsi="SimSun" w:hint="eastAsia"/>
          <w:sz w:val="24"/>
          <w:szCs w:val="24"/>
        </w:rPr>
        <w:t>。</w:t>
      </w:r>
    </w:p>
    <w:p w14:paraId="757FA5A3" w14:textId="77777777" w:rsidR="008E6270" w:rsidRDefault="008E6270">
      <w:pPr>
        <w:pStyle w:val="EndnoteText"/>
        <w:rPr>
          <w:rFonts w:ascii="SimSun" w:eastAsia="SimSun" w:hAnsi="SimSun"/>
          <w:sz w:val="24"/>
          <w:szCs w:val="24"/>
          <w:lang w:val="en-US"/>
        </w:rPr>
      </w:pPr>
    </w:p>
    <w:p w14:paraId="77BFF422" w14:textId="4E610BDA" w:rsidR="0015659D" w:rsidRPr="0015659D" w:rsidRDefault="0015659D" w:rsidP="0015659D">
      <w:pPr>
        <w:spacing w:line="278" w:lineRule="auto"/>
        <w:rPr>
          <w:rFonts w:ascii="Calibri" w:eastAsia="PMingLiU" w:hAnsi="Calibri" w:cs="Times New Roman"/>
          <w:kern w:val="0"/>
          <w:sz w:val="24"/>
          <w:szCs w:val="24"/>
          <w:lang w:val="en-US" w:eastAsia="zh-TW"/>
          <w14:ligatures w14:val="none"/>
        </w:rPr>
      </w:pPr>
      <w:r w:rsidRPr="0015659D">
        <w:rPr>
          <w:rFonts w:ascii="Calibri" w:eastAsia="PMingLiU" w:hAnsi="Calibri" w:cs="Times New Roman" w:hint="eastAsia"/>
          <w:b/>
          <w:bCs/>
          <w:kern w:val="0"/>
          <w:sz w:val="24"/>
          <w:szCs w:val="24"/>
          <w:lang w:val="en-US" w:eastAsia="zh-TW"/>
          <w14:ligatures w14:val="none"/>
        </w:rPr>
        <w:t>《</w:t>
      </w:r>
      <w:r w:rsidR="00453853">
        <w:rPr>
          <w:rFonts w:ascii="Calibri" w:eastAsia="PMingLiU" w:hAnsi="Calibri" w:cs="Times New Roman" w:hint="eastAsia"/>
          <w:b/>
          <w:bCs/>
          <w:kern w:val="0"/>
          <w:sz w:val="24"/>
          <w:szCs w:val="24"/>
          <w:lang w:val="en-US" w:eastAsia="zh-TW"/>
          <w14:ligatures w14:val="none"/>
        </w:rPr>
        <w:t>环球华人宣教学期刊</w:t>
      </w:r>
      <w:r w:rsidRPr="0015659D">
        <w:rPr>
          <w:rFonts w:ascii="Calibri" w:eastAsia="PMingLiU" w:hAnsi="Calibri" w:cs="Times New Roman" w:hint="eastAsia"/>
          <w:b/>
          <w:bCs/>
          <w:kern w:val="0"/>
          <w:sz w:val="24"/>
          <w:szCs w:val="24"/>
          <w:lang w:val="en-US" w:eastAsia="zh-TW"/>
          <w14:ligatures w14:val="none"/>
        </w:rPr>
        <w:t>》第八十期</w:t>
      </w:r>
      <w:r w:rsidRPr="0015659D">
        <w:rPr>
          <w:rFonts w:ascii="Calibri" w:eastAsia="PMingLiU" w:hAnsi="Calibri" w:cs="Times New Roman"/>
          <w:b/>
          <w:bCs/>
          <w:kern w:val="0"/>
          <w:sz w:val="24"/>
          <w:szCs w:val="24"/>
          <w:lang w:val="en-US" w:eastAsia="zh-TW"/>
          <w14:ligatures w14:val="none"/>
        </w:rPr>
        <w:t> Vol 10, No </w:t>
      </w:r>
      <w:r w:rsidRPr="0015659D">
        <w:rPr>
          <w:rFonts w:ascii="Calibri" w:eastAsia="PMingLiU" w:hAnsi="Calibri" w:cs="Times New Roman" w:hint="eastAsia"/>
          <w:b/>
          <w:bCs/>
          <w:kern w:val="0"/>
          <w:sz w:val="24"/>
          <w:szCs w:val="24"/>
          <w:lang w:val="en-US" w:eastAsia="zh-TW"/>
          <w14:ligatures w14:val="none"/>
        </w:rPr>
        <w:t>2</w:t>
      </w:r>
      <w:r w:rsidRPr="0015659D">
        <w:rPr>
          <w:rFonts w:ascii="Calibri" w:eastAsia="PMingLiU" w:hAnsi="Calibri" w:cs="Times New Roman"/>
          <w:b/>
          <w:bCs/>
          <w:kern w:val="0"/>
          <w:sz w:val="24"/>
          <w:szCs w:val="24"/>
          <w:lang w:val="en-US" w:eastAsia="zh-TW"/>
          <w14:ligatures w14:val="none"/>
        </w:rPr>
        <w:t> (April 2025)</w:t>
      </w:r>
    </w:p>
    <w:p w14:paraId="1F547BF7" w14:textId="77777777" w:rsidR="008E6270" w:rsidRPr="008E6270" w:rsidRDefault="008E6270">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CD2DD" w14:textId="77777777" w:rsidR="00957B6E" w:rsidRDefault="00957B6E" w:rsidP="00B470E5">
      <w:pPr>
        <w:spacing w:after="0" w:line="240" w:lineRule="auto"/>
      </w:pPr>
      <w:r>
        <w:separator/>
      </w:r>
    </w:p>
  </w:footnote>
  <w:footnote w:type="continuationSeparator" w:id="0">
    <w:p w14:paraId="273EA2DE" w14:textId="77777777" w:rsidR="00957B6E" w:rsidRDefault="00957B6E" w:rsidP="00B47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11573313"/>
      <w:docPartObj>
        <w:docPartGallery w:val="Page Numbers (Top of Page)"/>
        <w:docPartUnique/>
      </w:docPartObj>
    </w:sdtPr>
    <w:sdtEndPr>
      <w:rPr>
        <w:rStyle w:val="PageNumber"/>
      </w:rPr>
    </w:sdtEndPr>
    <w:sdtContent>
      <w:p w14:paraId="52D1D6B5" w14:textId="02474070" w:rsidR="008E6270" w:rsidRDefault="008E6270" w:rsidP="007B0F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E6F1AA" w14:textId="77777777" w:rsidR="008E6270" w:rsidRDefault="008E6270" w:rsidP="008E627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30854681"/>
      <w:docPartObj>
        <w:docPartGallery w:val="Page Numbers (Top of Page)"/>
        <w:docPartUnique/>
      </w:docPartObj>
    </w:sdtPr>
    <w:sdtEndPr>
      <w:rPr>
        <w:rStyle w:val="PageNumber"/>
      </w:rPr>
    </w:sdtEndPr>
    <w:sdtContent>
      <w:p w14:paraId="7D600CBD" w14:textId="1E55779A" w:rsidR="008E6270" w:rsidRDefault="008E6270" w:rsidP="007B0F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3853">
          <w:rPr>
            <w:rStyle w:val="PageNumber"/>
            <w:noProof/>
          </w:rPr>
          <w:t>1</w:t>
        </w:r>
        <w:r>
          <w:rPr>
            <w:rStyle w:val="PageNumber"/>
          </w:rPr>
          <w:fldChar w:fldCharType="end"/>
        </w:r>
      </w:p>
    </w:sdtContent>
  </w:sdt>
  <w:p w14:paraId="1F398996" w14:textId="77777777" w:rsidR="008E6270" w:rsidRDefault="008E6270" w:rsidP="008E627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B2"/>
    <w:rsid w:val="00003108"/>
    <w:rsid w:val="00004458"/>
    <w:rsid w:val="00004770"/>
    <w:rsid w:val="00005CF8"/>
    <w:rsid w:val="00011E2F"/>
    <w:rsid w:val="00014580"/>
    <w:rsid w:val="00015B31"/>
    <w:rsid w:val="0002382B"/>
    <w:rsid w:val="00024376"/>
    <w:rsid w:val="000265AB"/>
    <w:rsid w:val="000266DC"/>
    <w:rsid w:val="00032792"/>
    <w:rsid w:val="000403E3"/>
    <w:rsid w:val="00044469"/>
    <w:rsid w:val="00044FA3"/>
    <w:rsid w:val="0005125A"/>
    <w:rsid w:val="00052088"/>
    <w:rsid w:val="0005375D"/>
    <w:rsid w:val="00053FE7"/>
    <w:rsid w:val="0006211A"/>
    <w:rsid w:val="0006744C"/>
    <w:rsid w:val="00070785"/>
    <w:rsid w:val="00083252"/>
    <w:rsid w:val="0008432B"/>
    <w:rsid w:val="000873F3"/>
    <w:rsid w:val="000949E7"/>
    <w:rsid w:val="000967FD"/>
    <w:rsid w:val="000A125D"/>
    <w:rsid w:val="000A1CD8"/>
    <w:rsid w:val="000A58BE"/>
    <w:rsid w:val="000A6455"/>
    <w:rsid w:val="000B4B22"/>
    <w:rsid w:val="000B5D21"/>
    <w:rsid w:val="000B7CAE"/>
    <w:rsid w:val="000C7181"/>
    <w:rsid w:val="000C74D4"/>
    <w:rsid w:val="000D3D0B"/>
    <w:rsid w:val="000D49BF"/>
    <w:rsid w:val="000D4C4C"/>
    <w:rsid w:val="000D5CBD"/>
    <w:rsid w:val="000D69EE"/>
    <w:rsid w:val="000D7333"/>
    <w:rsid w:val="000E0144"/>
    <w:rsid w:val="000E46DB"/>
    <w:rsid w:val="000F71D2"/>
    <w:rsid w:val="00103327"/>
    <w:rsid w:val="0010389C"/>
    <w:rsid w:val="001054BD"/>
    <w:rsid w:val="00107466"/>
    <w:rsid w:val="00107BC9"/>
    <w:rsid w:val="001105B9"/>
    <w:rsid w:val="001113DE"/>
    <w:rsid w:val="0011205F"/>
    <w:rsid w:val="00114A79"/>
    <w:rsid w:val="00116132"/>
    <w:rsid w:val="00117DE5"/>
    <w:rsid w:val="0012565C"/>
    <w:rsid w:val="001324CC"/>
    <w:rsid w:val="00134579"/>
    <w:rsid w:val="001350A5"/>
    <w:rsid w:val="0013607B"/>
    <w:rsid w:val="00144701"/>
    <w:rsid w:val="00147952"/>
    <w:rsid w:val="00147DF7"/>
    <w:rsid w:val="00150AE4"/>
    <w:rsid w:val="00152811"/>
    <w:rsid w:val="001538EE"/>
    <w:rsid w:val="001550E5"/>
    <w:rsid w:val="0015659D"/>
    <w:rsid w:val="00156B9C"/>
    <w:rsid w:val="00157539"/>
    <w:rsid w:val="00165644"/>
    <w:rsid w:val="001702A9"/>
    <w:rsid w:val="001709B9"/>
    <w:rsid w:val="00174D06"/>
    <w:rsid w:val="00175281"/>
    <w:rsid w:val="001822D1"/>
    <w:rsid w:val="001911CC"/>
    <w:rsid w:val="0019572B"/>
    <w:rsid w:val="001A00AA"/>
    <w:rsid w:val="001C4F3E"/>
    <w:rsid w:val="001D266B"/>
    <w:rsid w:val="001D4F37"/>
    <w:rsid w:val="001E0D94"/>
    <w:rsid w:val="001E6793"/>
    <w:rsid w:val="001F22F6"/>
    <w:rsid w:val="001F47CC"/>
    <w:rsid w:val="001F5097"/>
    <w:rsid w:val="001F63C1"/>
    <w:rsid w:val="00200EEA"/>
    <w:rsid w:val="0020432A"/>
    <w:rsid w:val="0021043A"/>
    <w:rsid w:val="002114EC"/>
    <w:rsid w:val="0021289C"/>
    <w:rsid w:val="00215485"/>
    <w:rsid w:val="00226EBF"/>
    <w:rsid w:val="00227FE9"/>
    <w:rsid w:val="002326C7"/>
    <w:rsid w:val="00232FEC"/>
    <w:rsid w:val="00233E76"/>
    <w:rsid w:val="00234721"/>
    <w:rsid w:val="00235F02"/>
    <w:rsid w:val="0024163B"/>
    <w:rsid w:val="00252110"/>
    <w:rsid w:val="00253E4D"/>
    <w:rsid w:val="00272828"/>
    <w:rsid w:val="00273599"/>
    <w:rsid w:val="0027374F"/>
    <w:rsid w:val="00276F9B"/>
    <w:rsid w:val="002844DE"/>
    <w:rsid w:val="00285BC2"/>
    <w:rsid w:val="00286B45"/>
    <w:rsid w:val="00297795"/>
    <w:rsid w:val="002B045D"/>
    <w:rsid w:val="002B1AF7"/>
    <w:rsid w:val="002C38FB"/>
    <w:rsid w:val="002C5A2D"/>
    <w:rsid w:val="002C5B5C"/>
    <w:rsid w:val="002C6D1F"/>
    <w:rsid w:val="002D35A8"/>
    <w:rsid w:val="002D3F2C"/>
    <w:rsid w:val="002D5427"/>
    <w:rsid w:val="002D7559"/>
    <w:rsid w:val="002D756A"/>
    <w:rsid w:val="002E1A12"/>
    <w:rsid w:val="002F3FD9"/>
    <w:rsid w:val="002F612A"/>
    <w:rsid w:val="002F65DF"/>
    <w:rsid w:val="002F6E1F"/>
    <w:rsid w:val="002F7A74"/>
    <w:rsid w:val="00301B65"/>
    <w:rsid w:val="00303C4B"/>
    <w:rsid w:val="00303FD0"/>
    <w:rsid w:val="00305248"/>
    <w:rsid w:val="003055EC"/>
    <w:rsid w:val="00311D8A"/>
    <w:rsid w:val="003124F4"/>
    <w:rsid w:val="003156E0"/>
    <w:rsid w:val="0031703E"/>
    <w:rsid w:val="00321D20"/>
    <w:rsid w:val="00323F8D"/>
    <w:rsid w:val="00327172"/>
    <w:rsid w:val="003315F5"/>
    <w:rsid w:val="003330D0"/>
    <w:rsid w:val="00333B9E"/>
    <w:rsid w:val="003362D2"/>
    <w:rsid w:val="003376C3"/>
    <w:rsid w:val="00343F60"/>
    <w:rsid w:val="003443A1"/>
    <w:rsid w:val="003514A1"/>
    <w:rsid w:val="00355188"/>
    <w:rsid w:val="003608C9"/>
    <w:rsid w:val="00363803"/>
    <w:rsid w:val="003742AB"/>
    <w:rsid w:val="00376A29"/>
    <w:rsid w:val="00377009"/>
    <w:rsid w:val="00385AE7"/>
    <w:rsid w:val="00385D81"/>
    <w:rsid w:val="00386889"/>
    <w:rsid w:val="003937A5"/>
    <w:rsid w:val="003A026B"/>
    <w:rsid w:val="003A132C"/>
    <w:rsid w:val="003A18CB"/>
    <w:rsid w:val="003A5A03"/>
    <w:rsid w:val="003A5A95"/>
    <w:rsid w:val="003B1D1B"/>
    <w:rsid w:val="003B2086"/>
    <w:rsid w:val="003B2315"/>
    <w:rsid w:val="003B24A2"/>
    <w:rsid w:val="003B32B4"/>
    <w:rsid w:val="003B425E"/>
    <w:rsid w:val="003B5100"/>
    <w:rsid w:val="003B528E"/>
    <w:rsid w:val="003B64B0"/>
    <w:rsid w:val="003B6EEA"/>
    <w:rsid w:val="003C40FD"/>
    <w:rsid w:val="003C4D57"/>
    <w:rsid w:val="003C5EB1"/>
    <w:rsid w:val="003D38A7"/>
    <w:rsid w:val="003D5623"/>
    <w:rsid w:val="003D5776"/>
    <w:rsid w:val="003E0A38"/>
    <w:rsid w:val="003E4F4F"/>
    <w:rsid w:val="003E6FBC"/>
    <w:rsid w:val="003F6781"/>
    <w:rsid w:val="003F79AD"/>
    <w:rsid w:val="004001DD"/>
    <w:rsid w:val="00400B96"/>
    <w:rsid w:val="00403AA0"/>
    <w:rsid w:val="00405042"/>
    <w:rsid w:val="00406813"/>
    <w:rsid w:val="0041552E"/>
    <w:rsid w:val="00421211"/>
    <w:rsid w:val="0042124A"/>
    <w:rsid w:val="004235F3"/>
    <w:rsid w:val="004240B7"/>
    <w:rsid w:val="00426492"/>
    <w:rsid w:val="00426E35"/>
    <w:rsid w:val="00432756"/>
    <w:rsid w:val="00433292"/>
    <w:rsid w:val="00442248"/>
    <w:rsid w:val="00444A93"/>
    <w:rsid w:val="004457AB"/>
    <w:rsid w:val="0044598E"/>
    <w:rsid w:val="0044681F"/>
    <w:rsid w:val="00452671"/>
    <w:rsid w:val="0045321E"/>
    <w:rsid w:val="00453640"/>
    <w:rsid w:val="00453853"/>
    <w:rsid w:val="00457218"/>
    <w:rsid w:val="00460B8F"/>
    <w:rsid w:val="00460D9B"/>
    <w:rsid w:val="004617FD"/>
    <w:rsid w:val="00465B0A"/>
    <w:rsid w:val="00467183"/>
    <w:rsid w:val="0046783E"/>
    <w:rsid w:val="00472487"/>
    <w:rsid w:val="0048452B"/>
    <w:rsid w:val="00486712"/>
    <w:rsid w:val="00491112"/>
    <w:rsid w:val="00492C38"/>
    <w:rsid w:val="00495F15"/>
    <w:rsid w:val="004A22E3"/>
    <w:rsid w:val="004B7E58"/>
    <w:rsid w:val="004C771C"/>
    <w:rsid w:val="004D2E46"/>
    <w:rsid w:val="004D3239"/>
    <w:rsid w:val="004D3B3C"/>
    <w:rsid w:val="004D481C"/>
    <w:rsid w:val="004D4F84"/>
    <w:rsid w:val="004D50D6"/>
    <w:rsid w:val="004D7A05"/>
    <w:rsid w:val="004E0CD7"/>
    <w:rsid w:val="004E2014"/>
    <w:rsid w:val="004E29CC"/>
    <w:rsid w:val="004E56FD"/>
    <w:rsid w:val="004F4D4D"/>
    <w:rsid w:val="005005BD"/>
    <w:rsid w:val="0050193E"/>
    <w:rsid w:val="005258D1"/>
    <w:rsid w:val="00531155"/>
    <w:rsid w:val="00536AC7"/>
    <w:rsid w:val="005428BA"/>
    <w:rsid w:val="0054443F"/>
    <w:rsid w:val="00544F3C"/>
    <w:rsid w:val="00552C1B"/>
    <w:rsid w:val="00561C1C"/>
    <w:rsid w:val="00564B73"/>
    <w:rsid w:val="00565F0D"/>
    <w:rsid w:val="005678CE"/>
    <w:rsid w:val="0057567C"/>
    <w:rsid w:val="005759D8"/>
    <w:rsid w:val="0058032A"/>
    <w:rsid w:val="00580D7E"/>
    <w:rsid w:val="0058369E"/>
    <w:rsid w:val="00587F5B"/>
    <w:rsid w:val="00593A55"/>
    <w:rsid w:val="00594C67"/>
    <w:rsid w:val="005955F2"/>
    <w:rsid w:val="0059629B"/>
    <w:rsid w:val="005A68DD"/>
    <w:rsid w:val="005A7B1E"/>
    <w:rsid w:val="005B1EAA"/>
    <w:rsid w:val="005B206D"/>
    <w:rsid w:val="005D4716"/>
    <w:rsid w:val="005D7AAE"/>
    <w:rsid w:val="005E18C6"/>
    <w:rsid w:val="005E3AC9"/>
    <w:rsid w:val="005E5249"/>
    <w:rsid w:val="005E6316"/>
    <w:rsid w:val="005F390E"/>
    <w:rsid w:val="005F44B1"/>
    <w:rsid w:val="005F4887"/>
    <w:rsid w:val="005F48B1"/>
    <w:rsid w:val="005F4B6B"/>
    <w:rsid w:val="00603424"/>
    <w:rsid w:val="00606A43"/>
    <w:rsid w:val="00611BCD"/>
    <w:rsid w:val="00623F8A"/>
    <w:rsid w:val="006245B7"/>
    <w:rsid w:val="00625819"/>
    <w:rsid w:val="00626926"/>
    <w:rsid w:val="00626CBD"/>
    <w:rsid w:val="006307F4"/>
    <w:rsid w:val="00637458"/>
    <w:rsid w:val="00637AB9"/>
    <w:rsid w:val="006424F0"/>
    <w:rsid w:val="00647FF6"/>
    <w:rsid w:val="006512F5"/>
    <w:rsid w:val="006534F7"/>
    <w:rsid w:val="0066266B"/>
    <w:rsid w:val="00666462"/>
    <w:rsid w:val="00666D71"/>
    <w:rsid w:val="00674DC8"/>
    <w:rsid w:val="00676FE6"/>
    <w:rsid w:val="00677898"/>
    <w:rsid w:val="006811D0"/>
    <w:rsid w:val="00681D72"/>
    <w:rsid w:val="00684D04"/>
    <w:rsid w:val="00686C7E"/>
    <w:rsid w:val="006905A6"/>
    <w:rsid w:val="006956D6"/>
    <w:rsid w:val="006968B5"/>
    <w:rsid w:val="006A06D2"/>
    <w:rsid w:val="006A3623"/>
    <w:rsid w:val="006A4239"/>
    <w:rsid w:val="006A7296"/>
    <w:rsid w:val="006A7B7A"/>
    <w:rsid w:val="006B0072"/>
    <w:rsid w:val="006B11EA"/>
    <w:rsid w:val="006B1AED"/>
    <w:rsid w:val="006C4491"/>
    <w:rsid w:val="006C4550"/>
    <w:rsid w:val="006D13ED"/>
    <w:rsid w:val="006D40A6"/>
    <w:rsid w:val="006D437B"/>
    <w:rsid w:val="006E1A90"/>
    <w:rsid w:val="006E62E4"/>
    <w:rsid w:val="006E72F1"/>
    <w:rsid w:val="006F0BC5"/>
    <w:rsid w:val="007009AC"/>
    <w:rsid w:val="007031E0"/>
    <w:rsid w:val="00703884"/>
    <w:rsid w:val="00707531"/>
    <w:rsid w:val="00715059"/>
    <w:rsid w:val="00720BA3"/>
    <w:rsid w:val="00727AAE"/>
    <w:rsid w:val="00727CEE"/>
    <w:rsid w:val="00730A7C"/>
    <w:rsid w:val="00731380"/>
    <w:rsid w:val="007336E6"/>
    <w:rsid w:val="007352D1"/>
    <w:rsid w:val="007359F1"/>
    <w:rsid w:val="00744EC2"/>
    <w:rsid w:val="00752A61"/>
    <w:rsid w:val="00753C97"/>
    <w:rsid w:val="007548B5"/>
    <w:rsid w:val="00754FDA"/>
    <w:rsid w:val="00761E58"/>
    <w:rsid w:val="00765C56"/>
    <w:rsid w:val="00767080"/>
    <w:rsid w:val="00772CE4"/>
    <w:rsid w:val="007778C9"/>
    <w:rsid w:val="00781BE0"/>
    <w:rsid w:val="007825AC"/>
    <w:rsid w:val="00783689"/>
    <w:rsid w:val="00784E2E"/>
    <w:rsid w:val="00786C01"/>
    <w:rsid w:val="00792BE3"/>
    <w:rsid w:val="00793AC7"/>
    <w:rsid w:val="00793DB3"/>
    <w:rsid w:val="00794995"/>
    <w:rsid w:val="0079609D"/>
    <w:rsid w:val="00797E7F"/>
    <w:rsid w:val="007A096C"/>
    <w:rsid w:val="007A1D1C"/>
    <w:rsid w:val="007B1D89"/>
    <w:rsid w:val="007B3114"/>
    <w:rsid w:val="007B4D4B"/>
    <w:rsid w:val="007B742C"/>
    <w:rsid w:val="007B7E05"/>
    <w:rsid w:val="007C3E37"/>
    <w:rsid w:val="007C527F"/>
    <w:rsid w:val="007C52E3"/>
    <w:rsid w:val="007C6312"/>
    <w:rsid w:val="007D113E"/>
    <w:rsid w:val="007D12B6"/>
    <w:rsid w:val="007D3624"/>
    <w:rsid w:val="007D545A"/>
    <w:rsid w:val="007E2B26"/>
    <w:rsid w:val="007E6B69"/>
    <w:rsid w:val="007E6D80"/>
    <w:rsid w:val="007F0EBB"/>
    <w:rsid w:val="007F44D1"/>
    <w:rsid w:val="007F58C5"/>
    <w:rsid w:val="007F6F22"/>
    <w:rsid w:val="007F7D6B"/>
    <w:rsid w:val="008048A2"/>
    <w:rsid w:val="00805FD1"/>
    <w:rsid w:val="008106B2"/>
    <w:rsid w:val="0081092C"/>
    <w:rsid w:val="008111DD"/>
    <w:rsid w:val="00813B38"/>
    <w:rsid w:val="00820E08"/>
    <w:rsid w:val="008263F8"/>
    <w:rsid w:val="008267C3"/>
    <w:rsid w:val="00826834"/>
    <w:rsid w:val="00830796"/>
    <w:rsid w:val="0083097F"/>
    <w:rsid w:val="00840288"/>
    <w:rsid w:val="0084093D"/>
    <w:rsid w:val="00852A1E"/>
    <w:rsid w:val="00856DF7"/>
    <w:rsid w:val="008578A6"/>
    <w:rsid w:val="00857FF0"/>
    <w:rsid w:val="00861CF0"/>
    <w:rsid w:val="00861DD9"/>
    <w:rsid w:val="0086260A"/>
    <w:rsid w:val="008663E1"/>
    <w:rsid w:val="00870137"/>
    <w:rsid w:val="00875E3E"/>
    <w:rsid w:val="008766DE"/>
    <w:rsid w:val="00880836"/>
    <w:rsid w:val="00881A34"/>
    <w:rsid w:val="00881BDF"/>
    <w:rsid w:val="008826A6"/>
    <w:rsid w:val="0088473D"/>
    <w:rsid w:val="00892D7D"/>
    <w:rsid w:val="0089326F"/>
    <w:rsid w:val="00896D10"/>
    <w:rsid w:val="008A609F"/>
    <w:rsid w:val="008A66FA"/>
    <w:rsid w:val="008A6AFD"/>
    <w:rsid w:val="008B0780"/>
    <w:rsid w:val="008B2A49"/>
    <w:rsid w:val="008B340B"/>
    <w:rsid w:val="008B4323"/>
    <w:rsid w:val="008D1E14"/>
    <w:rsid w:val="008E2CD1"/>
    <w:rsid w:val="008E54EE"/>
    <w:rsid w:val="008E6270"/>
    <w:rsid w:val="009004DA"/>
    <w:rsid w:val="0090088B"/>
    <w:rsid w:val="009016F1"/>
    <w:rsid w:val="00903605"/>
    <w:rsid w:val="00906318"/>
    <w:rsid w:val="0090670A"/>
    <w:rsid w:val="00906C58"/>
    <w:rsid w:val="00911EBB"/>
    <w:rsid w:val="00914839"/>
    <w:rsid w:val="00922EE7"/>
    <w:rsid w:val="00927295"/>
    <w:rsid w:val="00931035"/>
    <w:rsid w:val="00932E13"/>
    <w:rsid w:val="009414B2"/>
    <w:rsid w:val="009416E3"/>
    <w:rsid w:val="00941DE3"/>
    <w:rsid w:val="00943A2E"/>
    <w:rsid w:val="0094624C"/>
    <w:rsid w:val="00946BF6"/>
    <w:rsid w:val="00947A77"/>
    <w:rsid w:val="0095000A"/>
    <w:rsid w:val="00952423"/>
    <w:rsid w:val="00957B6E"/>
    <w:rsid w:val="0096443B"/>
    <w:rsid w:val="009675EF"/>
    <w:rsid w:val="00972ED7"/>
    <w:rsid w:val="009817B0"/>
    <w:rsid w:val="00984460"/>
    <w:rsid w:val="0099240A"/>
    <w:rsid w:val="00993284"/>
    <w:rsid w:val="009A36E5"/>
    <w:rsid w:val="009A5EC2"/>
    <w:rsid w:val="009A6007"/>
    <w:rsid w:val="009B143E"/>
    <w:rsid w:val="009B1D61"/>
    <w:rsid w:val="009B2892"/>
    <w:rsid w:val="009B39BF"/>
    <w:rsid w:val="009B53E5"/>
    <w:rsid w:val="009B612A"/>
    <w:rsid w:val="009C0AF4"/>
    <w:rsid w:val="009C0E3A"/>
    <w:rsid w:val="009C7011"/>
    <w:rsid w:val="009D1FD7"/>
    <w:rsid w:val="009D218E"/>
    <w:rsid w:val="009D5F53"/>
    <w:rsid w:val="009D72CB"/>
    <w:rsid w:val="009E6BBC"/>
    <w:rsid w:val="009E7FA6"/>
    <w:rsid w:val="009F1C60"/>
    <w:rsid w:val="009F3344"/>
    <w:rsid w:val="009F4F89"/>
    <w:rsid w:val="009F5DA9"/>
    <w:rsid w:val="009F6890"/>
    <w:rsid w:val="009F7947"/>
    <w:rsid w:val="00A07090"/>
    <w:rsid w:val="00A10AA7"/>
    <w:rsid w:val="00A10C4D"/>
    <w:rsid w:val="00A14334"/>
    <w:rsid w:val="00A14858"/>
    <w:rsid w:val="00A22E7C"/>
    <w:rsid w:val="00A24859"/>
    <w:rsid w:val="00A264C0"/>
    <w:rsid w:val="00A327A8"/>
    <w:rsid w:val="00A35743"/>
    <w:rsid w:val="00A41373"/>
    <w:rsid w:val="00A46D5D"/>
    <w:rsid w:val="00A472EA"/>
    <w:rsid w:val="00A55BD1"/>
    <w:rsid w:val="00A60676"/>
    <w:rsid w:val="00A72573"/>
    <w:rsid w:val="00A763CB"/>
    <w:rsid w:val="00A7744A"/>
    <w:rsid w:val="00A83C51"/>
    <w:rsid w:val="00A95F82"/>
    <w:rsid w:val="00AA0F18"/>
    <w:rsid w:val="00AA1403"/>
    <w:rsid w:val="00AB2B4B"/>
    <w:rsid w:val="00AB4A2E"/>
    <w:rsid w:val="00AC28FC"/>
    <w:rsid w:val="00AC2E84"/>
    <w:rsid w:val="00AC2EF2"/>
    <w:rsid w:val="00AE5BF9"/>
    <w:rsid w:val="00AF03A4"/>
    <w:rsid w:val="00AF548B"/>
    <w:rsid w:val="00AF58B3"/>
    <w:rsid w:val="00B021B6"/>
    <w:rsid w:val="00B05273"/>
    <w:rsid w:val="00B058BC"/>
    <w:rsid w:val="00B0779C"/>
    <w:rsid w:val="00B15052"/>
    <w:rsid w:val="00B23BA4"/>
    <w:rsid w:val="00B27FDF"/>
    <w:rsid w:val="00B30577"/>
    <w:rsid w:val="00B33B65"/>
    <w:rsid w:val="00B40B82"/>
    <w:rsid w:val="00B469E4"/>
    <w:rsid w:val="00B470E5"/>
    <w:rsid w:val="00B502BF"/>
    <w:rsid w:val="00B521D8"/>
    <w:rsid w:val="00B56852"/>
    <w:rsid w:val="00B5730F"/>
    <w:rsid w:val="00B63EA4"/>
    <w:rsid w:val="00B65CF5"/>
    <w:rsid w:val="00B65E61"/>
    <w:rsid w:val="00B664C7"/>
    <w:rsid w:val="00B711EC"/>
    <w:rsid w:val="00B8256A"/>
    <w:rsid w:val="00B93572"/>
    <w:rsid w:val="00B96163"/>
    <w:rsid w:val="00BA0265"/>
    <w:rsid w:val="00BA5278"/>
    <w:rsid w:val="00BB0C74"/>
    <w:rsid w:val="00BB0CA9"/>
    <w:rsid w:val="00BB37BC"/>
    <w:rsid w:val="00BC0642"/>
    <w:rsid w:val="00BC44D0"/>
    <w:rsid w:val="00BC5F8D"/>
    <w:rsid w:val="00BD198E"/>
    <w:rsid w:val="00BD19AE"/>
    <w:rsid w:val="00BE6EC8"/>
    <w:rsid w:val="00BF087C"/>
    <w:rsid w:val="00BF1957"/>
    <w:rsid w:val="00BF437E"/>
    <w:rsid w:val="00BF4517"/>
    <w:rsid w:val="00BF4920"/>
    <w:rsid w:val="00BF7C68"/>
    <w:rsid w:val="00C17070"/>
    <w:rsid w:val="00C21595"/>
    <w:rsid w:val="00C2379A"/>
    <w:rsid w:val="00C24A94"/>
    <w:rsid w:val="00C338BE"/>
    <w:rsid w:val="00C33F12"/>
    <w:rsid w:val="00C3553C"/>
    <w:rsid w:val="00C423C7"/>
    <w:rsid w:val="00C42526"/>
    <w:rsid w:val="00C42CC4"/>
    <w:rsid w:val="00C53A17"/>
    <w:rsid w:val="00C55FEC"/>
    <w:rsid w:val="00C56486"/>
    <w:rsid w:val="00C57971"/>
    <w:rsid w:val="00C57FFA"/>
    <w:rsid w:val="00C60676"/>
    <w:rsid w:val="00C613E6"/>
    <w:rsid w:val="00C703D5"/>
    <w:rsid w:val="00C73CDD"/>
    <w:rsid w:val="00C77AF8"/>
    <w:rsid w:val="00C81D29"/>
    <w:rsid w:val="00C91967"/>
    <w:rsid w:val="00C9225A"/>
    <w:rsid w:val="00CA02FB"/>
    <w:rsid w:val="00CA7CEF"/>
    <w:rsid w:val="00CB19D3"/>
    <w:rsid w:val="00CB2380"/>
    <w:rsid w:val="00CB70EF"/>
    <w:rsid w:val="00CC6864"/>
    <w:rsid w:val="00CD15F4"/>
    <w:rsid w:val="00CD3D85"/>
    <w:rsid w:val="00CD5477"/>
    <w:rsid w:val="00CE1DE1"/>
    <w:rsid w:val="00CE1EE6"/>
    <w:rsid w:val="00CE75AC"/>
    <w:rsid w:val="00CF1995"/>
    <w:rsid w:val="00CF3691"/>
    <w:rsid w:val="00CF42E8"/>
    <w:rsid w:val="00D0051F"/>
    <w:rsid w:val="00D00FF9"/>
    <w:rsid w:val="00D02E7C"/>
    <w:rsid w:val="00D04874"/>
    <w:rsid w:val="00D0508C"/>
    <w:rsid w:val="00D10C42"/>
    <w:rsid w:val="00D11D4E"/>
    <w:rsid w:val="00D17A58"/>
    <w:rsid w:val="00D2047E"/>
    <w:rsid w:val="00D20B05"/>
    <w:rsid w:val="00D26663"/>
    <w:rsid w:val="00D310D0"/>
    <w:rsid w:val="00D36C06"/>
    <w:rsid w:val="00D4310D"/>
    <w:rsid w:val="00D43D99"/>
    <w:rsid w:val="00D44B89"/>
    <w:rsid w:val="00D51545"/>
    <w:rsid w:val="00D52035"/>
    <w:rsid w:val="00D53C4D"/>
    <w:rsid w:val="00D543E7"/>
    <w:rsid w:val="00D56448"/>
    <w:rsid w:val="00D60685"/>
    <w:rsid w:val="00D629FA"/>
    <w:rsid w:val="00D70A73"/>
    <w:rsid w:val="00D7397A"/>
    <w:rsid w:val="00D77533"/>
    <w:rsid w:val="00D77760"/>
    <w:rsid w:val="00D818D2"/>
    <w:rsid w:val="00D84062"/>
    <w:rsid w:val="00D90B21"/>
    <w:rsid w:val="00DA2304"/>
    <w:rsid w:val="00DA5C1D"/>
    <w:rsid w:val="00DA5F2B"/>
    <w:rsid w:val="00DB03B1"/>
    <w:rsid w:val="00DB3C67"/>
    <w:rsid w:val="00DB6F35"/>
    <w:rsid w:val="00DC35AD"/>
    <w:rsid w:val="00DC7F87"/>
    <w:rsid w:val="00DD072C"/>
    <w:rsid w:val="00DD3078"/>
    <w:rsid w:val="00DE0F86"/>
    <w:rsid w:val="00DE3262"/>
    <w:rsid w:val="00DF2B16"/>
    <w:rsid w:val="00DF3EA0"/>
    <w:rsid w:val="00DF4ACD"/>
    <w:rsid w:val="00DF5075"/>
    <w:rsid w:val="00DF6951"/>
    <w:rsid w:val="00DF7BBD"/>
    <w:rsid w:val="00E130DA"/>
    <w:rsid w:val="00E21FE5"/>
    <w:rsid w:val="00E279D2"/>
    <w:rsid w:val="00E27C5C"/>
    <w:rsid w:val="00E31834"/>
    <w:rsid w:val="00E31A9B"/>
    <w:rsid w:val="00E31AE5"/>
    <w:rsid w:val="00E35767"/>
    <w:rsid w:val="00E36873"/>
    <w:rsid w:val="00E41504"/>
    <w:rsid w:val="00E45AAA"/>
    <w:rsid w:val="00E47298"/>
    <w:rsid w:val="00E52378"/>
    <w:rsid w:val="00E56BDB"/>
    <w:rsid w:val="00E607BC"/>
    <w:rsid w:val="00E60EC0"/>
    <w:rsid w:val="00E6286D"/>
    <w:rsid w:val="00E703CC"/>
    <w:rsid w:val="00E75389"/>
    <w:rsid w:val="00E85196"/>
    <w:rsid w:val="00E90A71"/>
    <w:rsid w:val="00E92015"/>
    <w:rsid w:val="00E93282"/>
    <w:rsid w:val="00E960A9"/>
    <w:rsid w:val="00E976FA"/>
    <w:rsid w:val="00EA07D4"/>
    <w:rsid w:val="00EA6811"/>
    <w:rsid w:val="00EB2FA9"/>
    <w:rsid w:val="00EB3E24"/>
    <w:rsid w:val="00EB3F7D"/>
    <w:rsid w:val="00EB3FC5"/>
    <w:rsid w:val="00EB48B7"/>
    <w:rsid w:val="00EB507F"/>
    <w:rsid w:val="00EC6963"/>
    <w:rsid w:val="00ED415E"/>
    <w:rsid w:val="00ED6C42"/>
    <w:rsid w:val="00ED7F7E"/>
    <w:rsid w:val="00EF310B"/>
    <w:rsid w:val="00EF3729"/>
    <w:rsid w:val="00F00F88"/>
    <w:rsid w:val="00F01475"/>
    <w:rsid w:val="00F04AB9"/>
    <w:rsid w:val="00F1044A"/>
    <w:rsid w:val="00F13C88"/>
    <w:rsid w:val="00F25947"/>
    <w:rsid w:val="00F25BAD"/>
    <w:rsid w:val="00F36004"/>
    <w:rsid w:val="00F41FE3"/>
    <w:rsid w:val="00F42E42"/>
    <w:rsid w:val="00F452C0"/>
    <w:rsid w:val="00F515CF"/>
    <w:rsid w:val="00F547DE"/>
    <w:rsid w:val="00F66394"/>
    <w:rsid w:val="00F70307"/>
    <w:rsid w:val="00F71B46"/>
    <w:rsid w:val="00F759A4"/>
    <w:rsid w:val="00F77AB8"/>
    <w:rsid w:val="00F83011"/>
    <w:rsid w:val="00F8350A"/>
    <w:rsid w:val="00F8596A"/>
    <w:rsid w:val="00F94A2D"/>
    <w:rsid w:val="00F95707"/>
    <w:rsid w:val="00F9659A"/>
    <w:rsid w:val="00F97FBE"/>
    <w:rsid w:val="00FA101F"/>
    <w:rsid w:val="00FA22E9"/>
    <w:rsid w:val="00FA77F0"/>
    <w:rsid w:val="00FC3E9C"/>
    <w:rsid w:val="00FD0FA9"/>
    <w:rsid w:val="00FE2CF7"/>
    <w:rsid w:val="00FE328D"/>
    <w:rsid w:val="00FF1C64"/>
    <w:rsid w:val="00FF4EBE"/>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B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6B2"/>
    <w:rPr>
      <w:rFonts w:eastAsiaTheme="majorEastAsia" w:cstheme="majorBidi"/>
      <w:color w:val="272727" w:themeColor="text1" w:themeTint="D8"/>
    </w:rPr>
  </w:style>
  <w:style w:type="paragraph" w:styleId="Title">
    <w:name w:val="Title"/>
    <w:basedOn w:val="Normal"/>
    <w:next w:val="Normal"/>
    <w:link w:val="TitleChar"/>
    <w:uiPriority w:val="10"/>
    <w:qFormat/>
    <w:rsid w:val="00810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6B2"/>
    <w:pPr>
      <w:spacing w:before="160"/>
      <w:jc w:val="center"/>
    </w:pPr>
    <w:rPr>
      <w:i/>
      <w:iCs/>
      <w:color w:val="404040" w:themeColor="text1" w:themeTint="BF"/>
    </w:rPr>
  </w:style>
  <w:style w:type="character" w:customStyle="1" w:styleId="QuoteChar">
    <w:name w:val="Quote Char"/>
    <w:basedOn w:val="DefaultParagraphFont"/>
    <w:link w:val="Quote"/>
    <w:uiPriority w:val="29"/>
    <w:rsid w:val="008106B2"/>
    <w:rPr>
      <w:i/>
      <w:iCs/>
      <w:color w:val="404040" w:themeColor="text1" w:themeTint="BF"/>
    </w:rPr>
  </w:style>
  <w:style w:type="paragraph" w:styleId="ListParagraph">
    <w:name w:val="List Paragraph"/>
    <w:basedOn w:val="Normal"/>
    <w:uiPriority w:val="34"/>
    <w:qFormat/>
    <w:rsid w:val="008106B2"/>
    <w:pPr>
      <w:ind w:left="720"/>
      <w:contextualSpacing/>
    </w:pPr>
  </w:style>
  <w:style w:type="character" w:styleId="IntenseEmphasis">
    <w:name w:val="Intense Emphasis"/>
    <w:basedOn w:val="DefaultParagraphFont"/>
    <w:uiPriority w:val="21"/>
    <w:qFormat/>
    <w:rsid w:val="008106B2"/>
    <w:rPr>
      <w:i/>
      <w:iCs/>
      <w:color w:val="0F4761" w:themeColor="accent1" w:themeShade="BF"/>
    </w:rPr>
  </w:style>
  <w:style w:type="paragraph" w:styleId="IntenseQuote">
    <w:name w:val="Intense Quote"/>
    <w:basedOn w:val="Normal"/>
    <w:next w:val="Normal"/>
    <w:link w:val="IntenseQuoteChar"/>
    <w:uiPriority w:val="30"/>
    <w:qFormat/>
    <w:rsid w:val="00810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6B2"/>
    <w:rPr>
      <w:i/>
      <w:iCs/>
      <w:color w:val="0F4761" w:themeColor="accent1" w:themeShade="BF"/>
    </w:rPr>
  </w:style>
  <w:style w:type="character" w:styleId="IntenseReference">
    <w:name w:val="Intense Reference"/>
    <w:basedOn w:val="DefaultParagraphFont"/>
    <w:uiPriority w:val="32"/>
    <w:qFormat/>
    <w:rsid w:val="008106B2"/>
    <w:rPr>
      <w:b/>
      <w:bCs/>
      <w:smallCaps/>
      <w:color w:val="0F4761" w:themeColor="accent1" w:themeShade="BF"/>
      <w:spacing w:val="5"/>
    </w:rPr>
  </w:style>
  <w:style w:type="character" w:styleId="Hyperlink">
    <w:name w:val="Hyperlink"/>
    <w:basedOn w:val="DefaultParagraphFont"/>
    <w:uiPriority w:val="99"/>
    <w:unhideWhenUsed/>
    <w:rsid w:val="008106B2"/>
    <w:rPr>
      <w:color w:val="467886" w:themeColor="hyperlink"/>
      <w:u w:val="single"/>
    </w:rPr>
  </w:style>
  <w:style w:type="character" w:customStyle="1" w:styleId="UnresolvedMention">
    <w:name w:val="Unresolved Mention"/>
    <w:basedOn w:val="DefaultParagraphFont"/>
    <w:uiPriority w:val="99"/>
    <w:semiHidden/>
    <w:unhideWhenUsed/>
    <w:rsid w:val="008106B2"/>
    <w:rPr>
      <w:color w:val="605E5C"/>
      <w:shd w:val="clear" w:color="auto" w:fill="E1DFDD"/>
    </w:rPr>
  </w:style>
  <w:style w:type="paragraph" w:styleId="Header">
    <w:name w:val="header"/>
    <w:basedOn w:val="Normal"/>
    <w:link w:val="HeaderChar"/>
    <w:uiPriority w:val="99"/>
    <w:unhideWhenUsed/>
    <w:rsid w:val="00B4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0E5"/>
  </w:style>
  <w:style w:type="paragraph" w:styleId="Footer">
    <w:name w:val="footer"/>
    <w:basedOn w:val="Normal"/>
    <w:link w:val="FooterChar"/>
    <w:uiPriority w:val="99"/>
    <w:unhideWhenUsed/>
    <w:rsid w:val="00B4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0E5"/>
  </w:style>
  <w:style w:type="character" w:styleId="FollowedHyperlink">
    <w:name w:val="FollowedHyperlink"/>
    <w:basedOn w:val="DefaultParagraphFont"/>
    <w:uiPriority w:val="99"/>
    <w:semiHidden/>
    <w:unhideWhenUsed/>
    <w:rsid w:val="00B470E5"/>
    <w:rPr>
      <w:color w:val="96607D" w:themeColor="followedHyperlink"/>
      <w:u w:val="single"/>
    </w:rPr>
  </w:style>
  <w:style w:type="paragraph" w:styleId="EndnoteText">
    <w:name w:val="endnote text"/>
    <w:basedOn w:val="Normal"/>
    <w:link w:val="EndnoteTextChar"/>
    <w:uiPriority w:val="99"/>
    <w:semiHidden/>
    <w:unhideWhenUsed/>
    <w:rsid w:val="003124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24F4"/>
    <w:rPr>
      <w:sz w:val="20"/>
      <w:szCs w:val="20"/>
    </w:rPr>
  </w:style>
  <w:style w:type="character" w:styleId="EndnoteReference">
    <w:name w:val="endnote reference"/>
    <w:basedOn w:val="DefaultParagraphFont"/>
    <w:uiPriority w:val="99"/>
    <w:semiHidden/>
    <w:unhideWhenUsed/>
    <w:rsid w:val="003124F4"/>
    <w:rPr>
      <w:vertAlign w:val="superscript"/>
    </w:rPr>
  </w:style>
  <w:style w:type="paragraph" w:styleId="FootnoteText">
    <w:name w:val="footnote text"/>
    <w:basedOn w:val="Normal"/>
    <w:link w:val="FootnoteTextChar"/>
    <w:uiPriority w:val="99"/>
    <w:semiHidden/>
    <w:unhideWhenUsed/>
    <w:rsid w:val="004E20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014"/>
    <w:rPr>
      <w:sz w:val="20"/>
      <w:szCs w:val="20"/>
    </w:rPr>
  </w:style>
  <w:style w:type="character" w:styleId="FootnoteReference">
    <w:name w:val="footnote reference"/>
    <w:basedOn w:val="DefaultParagraphFont"/>
    <w:uiPriority w:val="99"/>
    <w:semiHidden/>
    <w:unhideWhenUsed/>
    <w:rsid w:val="004E2014"/>
    <w:rPr>
      <w:vertAlign w:val="superscript"/>
    </w:rPr>
  </w:style>
  <w:style w:type="character" w:styleId="PageNumber">
    <w:name w:val="page number"/>
    <w:basedOn w:val="DefaultParagraphFont"/>
    <w:uiPriority w:val="99"/>
    <w:semiHidden/>
    <w:unhideWhenUsed/>
    <w:rsid w:val="008E6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6B2"/>
    <w:rPr>
      <w:rFonts w:eastAsiaTheme="majorEastAsia" w:cstheme="majorBidi"/>
      <w:color w:val="272727" w:themeColor="text1" w:themeTint="D8"/>
    </w:rPr>
  </w:style>
  <w:style w:type="paragraph" w:styleId="Title">
    <w:name w:val="Title"/>
    <w:basedOn w:val="Normal"/>
    <w:next w:val="Normal"/>
    <w:link w:val="TitleChar"/>
    <w:uiPriority w:val="10"/>
    <w:qFormat/>
    <w:rsid w:val="00810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6B2"/>
    <w:pPr>
      <w:spacing w:before="160"/>
      <w:jc w:val="center"/>
    </w:pPr>
    <w:rPr>
      <w:i/>
      <w:iCs/>
      <w:color w:val="404040" w:themeColor="text1" w:themeTint="BF"/>
    </w:rPr>
  </w:style>
  <w:style w:type="character" w:customStyle="1" w:styleId="QuoteChar">
    <w:name w:val="Quote Char"/>
    <w:basedOn w:val="DefaultParagraphFont"/>
    <w:link w:val="Quote"/>
    <w:uiPriority w:val="29"/>
    <w:rsid w:val="008106B2"/>
    <w:rPr>
      <w:i/>
      <w:iCs/>
      <w:color w:val="404040" w:themeColor="text1" w:themeTint="BF"/>
    </w:rPr>
  </w:style>
  <w:style w:type="paragraph" w:styleId="ListParagraph">
    <w:name w:val="List Paragraph"/>
    <w:basedOn w:val="Normal"/>
    <w:uiPriority w:val="34"/>
    <w:qFormat/>
    <w:rsid w:val="008106B2"/>
    <w:pPr>
      <w:ind w:left="720"/>
      <w:contextualSpacing/>
    </w:pPr>
  </w:style>
  <w:style w:type="character" w:styleId="IntenseEmphasis">
    <w:name w:val="Intense Emphasis"/>
    <w:basedOn w:val="DefaultParagraphFont"/>
    <w:uiPriority w:val="21"/>
    <w:qFormat/>
    <w:rsid w:val="008106B2"/>
    <w:rPr>
      <w:i/>
      <w:iCs/>
      <w:color w:val="0F4761" w:themeColor="accent1" w:themeShade="BF"/>
    </w:rPr>
  </w:style>
  <w:style w:type="paragraph" w:styleId="IntenseQuote">
    <w:name w:val="Intense Quote"/>
    <w:basedOn w:val="Normal"/>
    <w:next w:val="Normal"/>
    <w:link w:val="IntenseQuoteChar"/>
    <w:uiPriority w:val="30"/>
    <w:qFormat/>
    <w:rsid w:val="00810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6B2"/>
    <w:rPr>
      <w:i/>
      <w:iCs/>
      <w:color w:val="0F4761" w:themeColor="accent1" w:themeShade="BF"/>
    </w:rPr>
  </w:style>
  <w:style w:type="character" w:styleId="IntenseReference">
    <w:name w:val="Intense Reference"/>
    <w:basedOn w:val="DefaultParagraphFont"/>
    <w:uiPriority w:val="32"/>
    <w:qFormat/>
    <w:rsid w:val="008106B2"/>
    <w:rPr>
      <w:b/>
      <w:bCs/>
      <w:smallCaps/>
      <w:color w:val="0F4761" w:themeColor="accent1" w:themeShade="BF"/>
      <w:spacing w:val="5"/>
    </w:rPr>
  </w:style>
  <w:style w:type="character" w:styleId="Hyperlink">
    <w:name w:val="Hyperlink"/>
    <w:basedOn w:val="DefaultParagraphFont"/>
    <w:uiPriority w:val="99"/>
    <w:unhideWhenUsed/>
    <w:rsid w:val="008106B2"/>
    <w:rPr>
      <w:color w:val="467886" w:themeColor="hyperlink"/>
      <w:u w:val="single"/>
    </w:rPr>
  </w:style>
  <w:style w:type="character" w:customStyle="1" w:styleId="UnresolvedMention">
    <w:name w:val="Unresolved Mention"/>
    <w:basedOn w:val="DefaultParagraphFont"/>
    <w:uiPriority w:val="99"/>
    <w:semiHidden/>
    <w:unhideWhenUsed/>
    <w:rsid w:val="008106B2"/>
    <w:rPr>
      <w:color w:val="605E5C"/>
      <w:shd w:val="clear" w:color="auto" w:fill="E1DFDD"/>
    </w:rPr>
  </w:style>
  <w:style w:type="paragraph" w:styleId="Header">
    <w:name w:val="header"/>
    <w:basedOn w:val="Normal"/>
    <w:link w:val="HeaderChar"/>
    <w:uiPriority w:val="99"/>
    <w:unhideWhenUsed/>
    <w:rsid w:val="00B4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0E5"/>
  </w:style>
  <w:style w:type="paragraph" w:styleId="Footer">
    <w:name w:val="footer"/>
    <w:basedOn w:val="Normal"/>
    <w:link w:val="FooterChar"/>
    <w:uiPriority w:val="99"/>
    <w:unhideWhenUsed/>
    <w:rsid w:val="00B4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0E5"/>
  </w:style>
  <w:style w:type="character" w:styleId="FollowedHyperlink">
    <w:name w:val="FollowedHyperlink"/>
    <w:basedOn w:val="DefaultParagraphFont"/>
    <w:uiPriority w:val="99"/>
    <w:semiHidden/>
    <w:unhideWhenUsed/>
    <w:rsid w:val="00B470E5"/>
    <w:rPr>
      <w:color w:val="96607D" w:themeColor="followedHyperlink"/>
      <w:u w:val="single"/>
    </w:rPr>
  </w:style>
  <w:style w:type="paragraph" w:styleId="EndnoteText">
    <w:name w:val="endnote text"/>
    <w:basedOn w:val="Normal"/>
    <w:link w:val="EndnoteTextChar"/>
    <w:uiPriority w:val="99"/>
    <w:semiHidden/>
    <w:unhideWhenUsed/>
    <w:rsid w:val="003124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24F4"/>
    <w:rPr>
      <w:sz w:val="20"/>
      <w:szCs w:val="20"/>
    </w:rPr>
  </w:style>
  <w:style w:type="character" w:styleId="EndnoteReference">
    <w:name w:val="endnote reference"/>
    <w:basedOn w:val="DefaultParagraphFont"/>
    <w:uiPriority w:val="99"/>
    <w:semiHidden/>
    <w:unhideWhenUsed/>
    <w:rsid w:val="003124F4"/>
    <w:rPr>
      <w:vertAlign w:val="superscript"/>
    </w:rPr>
  </w:style>
  <w:style w:type="paragraph" w:styleId="FootnoteText">
    <w:name w:val="footnote text"/>
    <w:basedOn w:val="Normal"/>
    <w:link w:val="FootnoteTextChar"/>
    <w:uiPriority w:val="99"/>
    <w:semiHidden/>
    <w:unhideWhenUsed/>
    <w:rsid w:val="004E20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014"/>
    <w:rPr>
      <w:sz w:val="20"/>
      <w:szCs w:val="20"/>
    </w:rPr>
  </w:style>
  <w:style w:type="character" w:styleId="FootnoteReference">
    <w:name w:val="footnote reference"/>
    <w:basedOn w:val="DefaultParagraphFont"/>
    <w:uiPriority w:val="99"/>
    <w:semiHidden/>
    <w:unhideWhenUsed/>
    <w:rsid w:val="004E2014"/>
    <w:rPr>
      <w:vertAlign w:val="superscript"/>
    </w:rPr>
  </w:style>
  <w:style w:type="character" w:styleId="PageNumber">
    <w:name w:val="page number"/>
    <w:basedOn w:val="DefaultParagraphFont"/>
    <w:uiPriority w:val="99"/>
    <w:semiHidden/>
    <w:unhideWhenUsed/>
    <w:rsid w:val="008E6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0977">
      <w:bodyDiv w:val="1"/>
      <w:marLeft w:val="0"/>
      <w:marRight w:val="0"/>
      <w:marTop w:val="0"/>
      <w:marBottom w:val="0"/>
      <w:divBdr>
        <w:top w:val="none" w:sz="0" w:space="0" w:color="auto"/>
        <w:left w:val="none" w:sz="0" w:space="0" w:color="auto"/>
        <w:bottom w:val="none" w:sz="0" w:space="0" w:color="auto"/>
        <w:right w:val="none" w:sz="0" w:space="0" w:color="auto"/>
      </w:divBdr>
    </w:div>
    <w:div w:id="192810394">
      <w:bodyDiv w:val="1"/>
      <w:marLeft w:val="0"/>
      <w:marRight w:val="0"/>
      <w:marTop w:val="0"/>
      <w:marBottom w:val="0"/>
      <w:divBdr>
        <w:top w:val="none" w:sz="0" w:space="0" w:color="auto"/>
        <w:left w:val="none" w:sz="0" w:space="0" w:color="auto"/>
        <w:bottom w:val="none" w:sz="0" w:space="0" w:color="auto"/>
        <w:right w:val="none" w:sz="0" w:space="0" w:color="auto"/>
      </w:divBdr>
    </w:div>
    <w:div w:id="383912783">
      <w:bodyDiv w:val="1"/>
      <w:marLeft w:val="0"/>
      <w:marRight w:val="0"/>
      <w:marTop w:val="0"/>
      <w:marBottom w:val="0"/>
      <w:divBdr>
        <w:top w:val="none" w:sz="0" w:space="0" w:color="auto"/>
        <w:left w:val="none" w:sz="0" w:space="0" w:color="auto"/>
        <w:bottom w:val="none" w:sz="0" w:space="0" w:color="auto"/>
        <w:right w:val="none" w:sz="0" w:space="0" w:color="auto"/>
      </w:divBdr>
    </w:div>
    <w:div w:id="389424537">
      <w:bodyDiv w:val="1"/>
      <w:marLeft w:val="0"/>
      <w:marRight w:val="0"/>
      <w:marTop w:val="0"/>
      <w:marBottom w:val="0"/>
      <w:divBdr>
        <w:top w:val="none" w:sz="0" w:space="0" w:color="auto"/>
        <w:left w:val="none" w:sz="0" w:space="0" w:color="auto"/>
        <w:bottom w:val="none" w:sz="0" w:space="0" w:color="auto"/>
        <w:right w:val="none" w:sz="0" w:space="0" w:color="auto"/>
      </w:divBdr>
      <w:divsChild>
        <w:div w:id="1845431924">
          <w:marLeft w:val="0"/>
          <w:marRight w:val="0"/>
          <w:marTop w:val="0"/>
          <w:marBottom w:val="0"/>
          <w:divBdr>
            <w:top w:val="none" w:sz="0" w:space="0" w:color="auto"/>
            <w:left w:val="none" w:sz="0" w:space="0" w:color="auto"/>
            <w:bottom w:val="none" w:sz="0" w:space="0" w:color="auto"/>
            <w:right w:val="none" w:sz="0" w:space="0" w:color="auto"/>
          </w:divBdr>
        </w:div>
        <w:div w:id="2133667401">
          <w:marLeft w:val="0"/>
          <w:marRight w:val="0"/>
          <w:marTop w:val="0"/>
          <w:marBottom w:val="0"/>
          <w:divBdr>
            <w:top w:val="none" w:sz="0" w:space="0" w:color="auto"/>
            <w:left w:val="none" w:sz="0" w:space="0" w:color="auto"/>
            <w:bottom w:val="none" w:sz="0" w:space="0" w:color="auto"/>
            <w:right w:val="none" w:sz="0" w:space="0" w:color="auto"/>
          </w:divBdr>
        </w:div>
        <w:div w:id="1015350899">
          <w:marLeft w:val="0"/>
          <w:marRight w:val="0"/>
          <w:marTop w:val="0"/>
          <w:marBottom w:val="0"/>
          <w:divBdr>
            <w:top w:val="none" w:sz="0" w:space="0" w:color="auto"/>
            <w:left w:val="none" w:sz="0" w:space="0" w:color="auto"/>
            <w:bottom w:val="none" w:sz="0" w:space="0" w:color="auto"/>
            <w:right w:val="none" w:sz="0" w:space="0" w:color="auto"/>
          </w:divBdr>
        </w:div>
        <w:div w:id="1659923153">
          <w:marLeft w:val="0"/>
          <w:marRight w:val="0"/>
          <w:marTop w:val="0"/>
          <w:marBottom w:val="0"/>
          <w:divBdr>
            <w:top w:val="none" w:sz="0" w:space="0" w:color="auto"/>
            <w:left w:val="none" w:sz="0" w:space="0" w:color="auto"/>
            <w:bottom w:val="none" w:sz="0" w:space="0" w:color="auto"/>
            <w:right w:val="none" w:sz="0" w:space="0" w:color="auto"/>
          </w:divBdr>
        </w:div>
        <w:div w:id="2043818191">
          <w:marLeft w:val="0"/>
          <w:marRight w:val="0"/>
          <w:marTop w:val="0"/>
          <w:marBottom w:val="0"/>
          <w:divBdr>
            <w:top w:val="none" w:sz="0" w:space="0" w:color="auto"/>
            <w:left w:val="none" w:sz="0" w:space="0" w:color="auto"/>
            <w:bottom w:val="none" w:sz="0" w:space="0" w:color="auto"/>
            <w:right w:val="none" w:sz="0" w:space="0" w:color="auto"/>
          </w:divBdr>
        </w:div>
        <w:div w:id="227227851">
          <w:marLeft w:val="0"/>
          <w:marRight w:val="0"/>
          <w:marTop w:val="0"/>
          <w:marBottom w:val="0"/>
          <w:divBdr>
            <w:top w:val="none" w:sz="0" w:space="0" w:color="auto"/>
            <w:left w:val="none" w:sz="0" w:space="0" w:color="auto"/>
            <w:bottom w:val="none" w:sz="0" w:space="0" w:color="auto"/>
            <w:right w:val="none" w:sz="0" w:space="0" w:color="auto"/>
          </w:divBdr>
        </w:div>
        <w:div w:id="1266500399">
          <w:marLeft w:val="0"/>
          <w:marRight w:val="0"/>
          <w:marTop w:val="0"/>
          <w:marBottom w:val="0"/>
          <w:divBdr>
            <w:top w:val="none" w:sz="0" w:space="0" w:color="auto"/>
            <w:left w:val="none" w:sz="0" w:space="0" w:color="auto"/>
            <w:bottom w:val="none" w:sz="0" w:space="0" w:color="auto"/>
            <w:right w:val="none" w:sz="0" w:space="0" w:color="auto"/>
          </w:divBdr>
        </w:div>
        <w:div w:id="209541540">
          <w:marLeft w:val="0"/>
          <w:marRight w:val="0"/>
          <w:marTop w:val="0"/>
          <w:marBottom w:val="0"/>
          <w:divBdr>
            <w:top w:val="none" w:sz="0" w:space="0" w:color="auto"/>
            <w:left w:val="none" w:sz="0" w:space="0" w:color="auto"/>
            <w:bottom w:val="none" w:sz="0" w:space="0" w:color="auto"/>
            <w:right w:val="none" w:sz="0" w:space="0" w:color="auto"/>
          </w:divBdr>
        </w:div>
      </w:divsChild>
    </w:div>
    <w:div w:id="513809137">
      <w:bodyDiv w:val="1"/>
      <w:marLeft w:val="0"/>
      <w:marRight w:val="0"/>
      <w:marTop w:val="0"/>
      <w:marBottom w:val="0"/>
      <w:divBdr>
        <w:top w:val="none" w:sz="0" w:space="0" w:color="auto"/>
        <w:left w:val="none" w:sz="0" w:space="0" w:color="auto"/>
        <w:bottom w:val="none" w:sz="0" w:space="0" w:color="auto"/>
        <w:right w:val="none" w:sz="0" w:space="0" w:color="auto"/>
      </w:divBdr>
    </w:div>
    <w:div w:id="574706298">
      <w:bodyDiv w:val="1"/>
      <w:marLeft w:val="0"/>
      <w:marRight w:val="0"/>
      <w:marTop w:val="0"/>
      <w:marBottom w:val="0"/>
      <w:divBdr>
        <w:top w:val="none" w:sz="0" w:space="0" w:color="auto"/>
        <w:left w:val="none" w:sz="0" w:space="0" w:color="auto"/>
        <w:bottom w:val="none" w:sz="0" w:space="0" w:color="auto"/>
        <w:right w:val="none" w:sz="0" w:space="0" w:color="auto"/>
      </w:divBdr>
    </w:div>
    <w:div w:id="1166826311">
      <w:bodyDiv w:val="1"/>
      <w:marLeft w:val="0"/>
      <w:marRight w:val="0"/>
      <w:marTop w:val="0"/>
      <w:marBottom w:val="0"/>
      <w:divBdr>
        <w:top w:val="none" w:sz="0" w:space="0" w:color="auto"/>
        <w:left w:val="none" w:sz="0" w:space="0" w:color="auto"/>
        <w:bottom w:val="none" w:sz="0" w:space="0" w:color="auto"/>
        <w:right w:val="none" w:sz="0" w:space="0" w:color="auto"/>
      </w:divBdr>
      <w:divsChild>
        <w:div w:id="1265382347">
          <w:marLeft w:val="0"/>
          <w:marRight w:val="0"/>
          <w:marTop w:val="0"/>
          <w:marBottom w:val="0"/>
          <w:divBdr>
            <w:top w:val="none" w:sz="0" w:space="0" w:color="auto"/>
            <w:left w:val="none" w:sz="0" w:space="0" w:color="auto"/>
            <w:bottom w:val="none" w:sz="0" w:space="0" w:color="auto"/>
            <w:right w:val="none" w:sz="0" w:space="0" w:color="auto"/>
          </w:divBdr>
          <w:divsChild>
            <w:div w:id="231085306">
              <w:marLeft w:val="0"/>
              <w:marRight w:val="0"/>
              <w:marTop w:val="0"/>
              <w:marBottom w:val="0"/>
              <w:divBdr>
                <w:top w:val="none" w:sz="0" w:space="0" w:color="auto"/>
                <w:left w:val="none" w:sz="0" w:space="0" w:color="auto"/>
                <w:bottom w:val="none" w:sz="0" w:space="0" w:color="auto"/>
                <w:right w:val="none" w:sz="0" w:space="0" w:color="auto"/>
              </w:divBdr>
              <w:divsChild>
                <w:div w:id="1070880557">
                  <w:marLeft w:val="0"/>
                  <w:marRight w:val="0"/>
                  <w:marTop w:val="0"/>
                  <w:marBottom w:val="0"/>
                  <w:divBdr>
                    <w:top w:val="none" w:sz="0" w:space="0" w:color="auto"/>
                    <w:left w:val="none" w:sz="0" w:space="0" w:color="auto"/>
                    <w:bottom w:val="none" w:sz="0" w:space="0" w:color="auto"/>
                    <w:right w:val="none" w:sz="0" w:space="0" w:color="auto"/>
                  </w:divBdr>
                  <w:divsChild>
                    <w:div w:id="405764576">
                      <w:marLeft w:val="0"/>
                      <w:marRight w:val="0"/>
                      <w:marTop w:val="0"/>
                      <w:marBottom w:val="0"/>
                      <w:divBdr>
                        <w:top w:val="none" w:sz="0" w:space="0" w:color="auto"/>
                        <w:left w:val="none" w:sz="0" w:space="0" w:color="auto"/>
                        <w:bottom w:val="none" w:sz="0" w:space="0" w:color="auto"/>
                        <w:right w:val="none" w:sz="0" w:space="0" w:color="auto"/>
                      </w:divBdr>
                      <w:divsChild>
                        <w:div w:id="902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4432">
          <w:marLeft w:val="0"/>
          <w:marRight w:val="0"/>
          <w:marTop w:val="0"/>
          <w:marBottom w:val="0"/>
          <w:divBdr>
            <w:top w:val="none" w:sz="0" w:space="0" w:color="auto"/>
            <w:left w:val="none" w:sz="0" w:space="0" w:color="auto"/>
            <w:bottom w:val="none" w:sz="0" w:space="0" w:color="auto"/>
            <w:right w:val="none" w:sz="0" w:space="0" w:color="auto"/>
          </w:divBdr>
          <w:divsChild>
            <w:div w:id="1086221277">
              <w:marLeft w:val="0"/>
              <w:marRight w:val="0"/>
              <w:marTop w:val="0"/>
              <w:marBottom w:val="0"/>
              <w:divBdr>
                <w:top w:val="none" w:sz="0" w:space="0" w:color="auto"/>
                <w:left w:val="none" w:sz="0" w:space="0" w:color="auto"/>
                <w:bottom w:val="none" w:sz="0" w:space="0" w:color="auto"/>
                <w:right w:val="none" w:sz="0" w:space="0" w:color="auto"/>
              </w:divBdr>
              <w:divsChild>
                <w:div w:id="1585610409">
                  <w:marLeft w:val="0"/>
                  <w:marRight w:val="0"/>
                  <w:marTop w:val="0"/>
                  <w:marBottom w:val="0"/>
                  <w:divBdr>
                    <w:top w:val="none" w:sz="0" w:space="0" w:color="auto"/>
                    <w:left w:val="none" w:sz="0" w:space="0" w:color="auto"/>
                    <w:bottom w:val="none" w:sz="0" w:space="0" w:color="auto"/>
                    <w:right w:val="none" w:sz="0" w:space="0" w:color="auto"/>
                  </w:divBdr>
                  <w:divsChild>
                    <w:div w:id="1081633501">
                      <w:marLeft w:val="0"/>
                      <w:marRight w:val="0"/>
                      <w:marTop w:val="0"/>
                      <w:marBottom w:val="0"/>
                      <w:divBdr>
                        <w:top w:val="none" w:sz="0" w:space="0" w:color="auto"/>
                        <w:left w:val="none" w:sz="0" w:space="0" w:color="auto"/>
                        <w:bottom w:val="none" w:sz="0" w:space="0" w:color="auto"/>
                        <w:right w:val="none" w:sz="0" w:space="0" w:color="auto"/>
                      </w:divBdr>
                      <w:divsChild>
                        <w:div w:id="2129808211">
                          <w:marLeft w:val="0"/>
                          <w:marRight w:val="0"/>
                          <w:marTop w:val="0"/>
                          <w:marBottom w:val="0"/>
                          <w:divBdr>
                            <w:top w:val="none" w:sz="0" w:space="0" w:color="auto"/>
                            <w:left w:val="none" w:sz="0" w:space="0" w:color="auto"/>
                            <w:bottom w:val="none" w:sz="0" w:space="0" w:color="auto"/>
                            <w:right w:val="none" w:sz="0" w:space="0" w:color="auto"/>
                          </w:divBdr>
                        </w:div>
                      </w:divsChild>
                    </w:div>
                    <w:div w:id="137192313">
                      <w:marLeft w:val="0"/>
                      <w:marRight w:val="0"/>
                      <w:marTop w:val="0"/>
                      <w:marBottom w:val="0"/>
                      <w:divBdr>
                        <w:top w:val="none" w:sz="0" w:space="0" w:color="auto"/>
                        <w:left w:val="none" w:sz="0" w:space="0" w:color="auto"/>
                        <w:bottom w:val="none" w:sz="0" w:space="0" w:color="auto"/>
                        <w:right w:val="none" w:sz="0" w:space="0" w:color="auto"/>
                      </w:divBdr>
                      <w:divsChild>
                        <w:div w:id="1081439988">
                          <w:marLeft w:val="0"/>
                          <w:marRight w:val="0"/>
                          <w:marTop w:val="0"/>
                          <w:marBottom w:val="0"/>
                          <w:divBdr>
                            <w:top w:val="none" w:sz="0" w:space="0" w:color="auto"/>
                            <w:left w:val="none" w:sz="0" w:space="0" w:color="auto"/>
                            <w:bottom w:val="none" w:sz="0" w:space="0" w:color="auto"/>
                            <w:right w:val="none" w:sz="0" w:space="0" w:color="auto"/>
                          </w:divBdr>
                        </w:div>
                      </w:divsChild>
                    </w:div>
                    <w:div w:id="552544175">
                      <w:marLeft w:val="0"/>
                      <w:marRight w:val="0"/>
                      <w:marTop w:val="0"/>
                      <w:marBottom w:val="0"/>
                      <w:divBdr>
                        <w:top w:val="none" w:sz="0" w:space="0" w:color="auto"/>
                        <w:left w:val="none" w:sz="0" w:space="0" w:color="auto"/>
                        <w:bottom w:val="none" w:sz="0" w:space="0" w:color="auto"/>
                        <w:right w:val="none" w:sz="0" w:space="0" w:color="auto"/>
                      </w:divBdr>
                      <w:divsChild>
                        <w:div w:id="802772749">
                          <w:marLeft w:val="0"/>
                          <w:marRight w:val="0"/>
                          <w:marTop w:val="0"/>
                          <w:marBottom w:val="0"/>
                          <w:divBdr>
                            <w:top w:val="none" w:sz="0" w:space="0" w:color="auto"/>
                            <w:left w:val="none" w:sz="0" w:space="0" w:color="auto"/>
                            <w:bottom w:val="none" w:sz="0" w:space="0" w:color="auto"/>
                            <w:right w:val="none" w:sz="0" w:space="0" w:color="auto"/>
                          </w:divBdr>
                        </w:div>
                      </w:divsChild>
                    </w:div>
                    <w:div w:id="1819878238">
                      <w:marLeft w:val="0"/>
                      <w:marRight w:val="0"/>
                      <w:marTop w:val="0"/>
                      <w:marBottom w:val="0"/>
                      <w:divBdr>
                        <w:top w:val="none" w:sz="0" w:space="0" w:color="auto"/>
                        <w:left w:val="none" w:sz="0" w:space="0" w:color="auto"/>
                        <w:bottom w:val="none" w:sz="0" w:space="0" w:color="auto"/>
                        <w:right w:val="none" w:sz="0" w:space="0" w:color="auto"/>
                      </w:divBdr>
                      <w:divsChild>
                        <w:div w:id="20184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5933">
          <w:marLeft w:val="0"/>
          <w:marRight w:val="0"/>
          <w:marTop w:val="0"/>
          <w:marBottom w:val="0"/>
          <w:divBdr>
            <w:top w:val="none" w:sz="0" w:space="0" w:color="auto"/>
            <w:left w:val="none" w:sz="0" w:space="0" w:color="auto"/>
            <w:bottom w:val="none" w:sz="0" w:space="0" w:color="auto"/>
            <w:right w:val="none" w:sz="0" w:space="0" w:color="auto"/>
          </w:divBdr>
          <w:divsChild>
            <w:div w:id="7268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5787">
      <w:bodyDiv w:val="1"/>
      <w:marLeft w:val="0"/>
      <w:marRight w:val="0"/>
      <w:marTop w:val="0"/>
      <w:marBottom w:val="0"/>
      <w:divBdr>
        <w:top w:val="none" w:sz="0" w:space="0" w:color="auto"/>
        <w:left w:val="none" w:sz="0" w:space="0" w:color="auto"/>
        <w:bottom w:val="none" w:sz="0" w:space="0" w:color="auto"/>
        <w:right w:val="none" w:sz="0" w:space="0" w:color="auto"/>
      </w:divBdr>
    </w:div>
    <w:div w:id="1579289261">
      <w:bodyDiv w:val="1"/>
      <w:marLeft w:val="0"/>
      <w:marRight w:val="0"/>
      <w:marTop w:val="0"/>
      <w:marBottom w:val="0"/>
      <w:divBdr>
        <w:top w:val="none" w:sz="0" w:space="0" w:color="auto"/>
        <w:left w:val="none" w:sz="0" w:space="0" w:color="auto"/>
        <w:bottom w:val="none" w:sz="0" w:space="0" w:color="auto"/>
        <w:right w:val="none" w:sz="0" w:space="0" w:color="auto"/>
      </w:divBdr>
    </w:div>
    <w:div w:id="2001807591">
      <w:bodyDiv w:val="1"/>
      <w:marLeft w:val="0"/>
      <w:marRight w:val="0"/>
      <w:marTop w:val="0"/>
      <w:marBottom w:val="0"/>
      <w:divBdr>
        <w:top w:val="none" w:sz="0" w:space="0" w:color="auto"/>
        <w:left w:val="none" w:sz="0" w:space="0" w:color="auto"/>
        <w:bottom w:val="none" w:sz="0" w:space="0" w:color="auto"/>
        <w:right w:val="none" w:sz="0" w:space="0" w:color="auto"/>
      </w:divBdr>
      <w:divsChild>
        <w:div w:id="892422287">
          <w:marLeft w:val="0"/>
          <w:marRight w:val="0"/>
          <w:marTop w:val="0"/>
          <w:marBottom w:val="0"/>
          <w:divBdr>
            <w:top w:val="none" w:sz="0" w:space="0" w:color="auto"/>
            <w:left w:val="none" w:sz="0" w:space="0" w:color="auto"/>
            <w:bottom w:val="none" w:sz="0" w:space="0" w:color="auto"/>
            <w:right w:val="none" w:sz="0" w:space="0" w:color="auto"/>
          </w:divBdr>
        </w:div>
        <w:div w:id="1039088736">
          <w:marLeft w:val="0"/>
          <w:marRight w:val="0"/>
          <w:marTop w:val="0"/>
          <w:marBottom w:val="0"/>
          <w:divBdr>
            <w:top w:val="none" w:sz="0" w:space="0" w:color="auto"/>
            <w:left w:val="none" w:sz="0" w:space="0" w:color="auto"/>
            <w:bottom w:val="none" w:sz="0" w:space="0" w:color="auto"/>
            <w:right w:val="none" w:sz="0" w:space="0" w:color="auto"/>
          </w:divBdr>
        </w:div>
        <w:div w:id="136263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E1D4E-AAB8-4232-BB46-CCCEAD9F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Yip</dc:creator>
  <cp:keywords/>
  <dc:description/>
  <cp:lastModifiedBy>joanna wang</cp:lastModifiedBy>
  <cp:revision>7</cp:revision>
  <dcterms:created xsi:type="dcterms:W3CDTF">2025-03-20T01:00:00Z</dcterms:created>
  <dcterms:modified xsi:type="dcterms:W3CDTF">2025-03-29T18:45:00Z</dcterms:modified>
</cp:coreProperties>
</file>