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6CC7" w:rsidRDefault="63DCED76" w:rsidP="00362B82">
      <w:pPr>
        <w:pStyle w:val="Heading2"/>
        <w:spacing w:before="0" w:after="160" w:line="240" w:lineRule="auto"/>
        <w:jc w:val="center"/>
        <w:rPr>
          <w:rFonts w:ascii="Times New Roman" w:eastAsia="Times New Roman" w:hAnsi="Times New Roman" w:cs="Times New Roman"/>
          <w:b/>
          <w:bCs/>
          <w:color w:val="000000"/>
          <w:sz w:val="24"/>
          <w:szCs w:val="24"/>
        </w:rPr>
      </w:pPr>
      <w:bookmarkStart w:id="0" w:name="gjdgxs" w:colFirst="0" w:colLast="0"/>
      <w:bookmarkStart w:id="1" w:name="_30j0zll"/>
      <w:bookmarkEnd w:id="0"/>
      <w:bookmarkEnd w:id="1"/>
      <w:r w:rsidRPr="63DCED76">
        <w:rPr>
          <w:rFonts w:ascii="Times New Roman" w:eastAsia="Times New Roman" w:hAnsi="Times New Roman" w:cs="Times New Roman"/>
          <w:b/>
          <w:bCs/>
          <w:color w:val="000000" w:themeColor="text1"/>
          <w:sz w:val="24"/>
          <w:szCs w:val="24"/>
        </w:rPr>
        <w:t xml:space="preserve">Prerequisites for Movements? Questioning Two </w:t>
      </w:r>
      <w:proofErr w:type="gramStart"/>
      <w:r w:rsidRPr="63DCED76">
        <w:rPr>
          <w:rFonts w:ascii="Times New Roman" w:eastAsia="Times New Roman" w:hAnsi="Times New Roman" w:cs="Times New Roman"/>
          <w:b/>
          <w:bCs/>
          <w:color w:val="000000" w:themeColor="text1"/>
          <w:sz w:val="24"/>
          <w:szCs w:val="24"/>
        </w:rPr>
        <w:t>Widely-Held</w:t>
      </w:r>
      <w:proofErr w:type="gramEnd"/>
      <w:r w:rsidRPr="63DCED76">
        <w:rPr>
          <w:rFonts w:ascii="Times New Roman" w:eastAsia="Times New Roman" w:hAnsi="Times New Roman" w:cs="Times New Roman"/>
          <w:b/>
          <w:bCs/>
          <w:color w:val="000000" w:themeColor="text1"/>
          <w:sz w:val="24"/>
          <w:szCs w:val="24"/>
        </w:rPr>
        <w:t xml:space="preserve"> Assumptions</w:t>
      </w:r>
    </w:p>
    <w:p w14:paraId="00000002" w14:textId="77777777" w:rsidR="00356CC7" w:rsidRDefault="63DCED76" w:rsidP="63DCED76">
      <w:pPr>
        <w:pBdr>
          <w:top w:val="nil"/>
          <w:left w:val="nil"/>
          <w:bottom w:val="nil"/>
          <w:right w:val="nil"/>
          <w:between w:val="nil"/>
        </w:pBdr>
        <w:spacing w:after="160" w:line="240" w:lineRule="auto"/>
        <w:jc w:val="center"/>
        <w:rPr>
          <w:rFonts w:ascii="Times New Roman" w:eastAsia="Times New Roman" w:hAnsi="Times New Roman" w:cs="Times New Roman"/>
          <w:sz w:val="24"/>
          <w:szCs w:val="24"/>
        </w:rPr>
      </w:pPr>
      <w:bookmarkStart w:id="2" w:name="_1fob9te"/>
      <w:bookmarkEnd w:id="2"/>
      <w:r w:rsidRPr="63DCED76">
        <w:rPr>
          <w:rFonts w:ascii="Times New Roman" w:eastAsia="Times New Roman" w:hAnsi="Times New Roman" w:cs="Times New Roman"/>
          <w:sz w:val="24"/>
          <w:szCs w:val="24"/>
        </w:rPr>
        <w:t>Emanuel Prinz, with Dave Coles</w:t>
      </w:r>
    </w:p>
    <w:p w14:paraId="7B958470" w14:textId="36241B88" w:rsidR="63DCED76" w:rsidRDefault="63DCED76" w:rsidP="63DCED76">
      <w:pPr>
        <w:spacing w:after="160" w:line="240" w:lineRule="auto"/>
        <w:jc w:val="center"/>
        <w:rPr>
          <w:rFonts w:ascii="Times New Roman" w:eastAsia="Times New Roman" w:hAnsi="Times New Roman" w:cs="Times New Roman"/>
          <w:sz w:val="24"/>
          <w:szCs w:val="24"/>
        </w:rPr>
      </w:pPr>
      <w:r w:rsidRPr="63DCED76">
        <w:rPr>
          <w:rFonts w:ascii="Times New Roman" w:eastAsia="Times New Roman" w:hAnsi="Times New Roman" w:cs="Times New Roman"/>
          <w:sz w:val="24"/>
          <w:szCs w:val="24"/>
        </w:rPr>
        <w:t xml:space="preserve">Published in </w:t>
      </w:r>
      <w:r w:rsidRPr="63DCED76">
        <w:rPr>
          <w:rFonts w:ascii="Times New Roman" w:eastAsia="Times New Roman" w:hAnsi="Times New Roman" w:cs="Times New Roman"/>
          <w:i/>
          <w:iCs/>
          <w:sz w:val="24"/>
          <w:szCs w:val="24"/>
        </w:rPr>
        <w:t>Global Missiology</w:t>
      </w:r>
      <w:r w:rsidRPr="63DCED76">
        <w:rPr>
          <w:rFonts w:ascii="Times New Roman" w:eastAsia="Times New Roman" w:hAnsi="Times New Roman" w:cs="Times New Roman"/>
          <w:sz w:val="24"/>
          <w:szCs w:val="24"/>
        </w:rPr>
        <w:t xml:space="preserve">, </w:t>
      </w:r>
      <w:hyperlink r:id="rId6">
        <w:r w:rsidRPr="63DCED76">
          <w:rPr>
            <w:rStyle w:val="Hyperlink"/>
            <w:rFonts w:ascii="Times New Roman" w:eastAsia="Times New Roman" w:hAnsi="Times New Roman" w:cs="Times New Roman"/>
            <w:color w:val="auto"/>
            <w:sz w:val="24"/>
            <w:szCs w:val="24"/>
          </w:rPr>
          <w:t>www.globalmissiology.org</w:t>
        </w:r>
      </w:hyperlink>
      <w:r w:rsidRPr="63DCED76">
        <w:rPr>
          <w:rFonts w:ascii="Times New Roman" w:eastAsia="Times New Roman" w:hAnsi="Times New Roman" w:cs="Times New Roman"/>
          <w:sz w:val="24"/>
          <w:szCs w:val="24"/>
        </w:rPr>
        <w:t>, January 2022</w:t>
      </w:r>
    </w:p>
    <w:p w14:paraId="00000003" w14:textId="77777777" w:rsidR="00356CC7" w:rsidRDefault="63DCED76" w:rsidP="63DCED76">
      <w:pPr>
        <w:pStyle w:val="Heading1"/>
        <w:spacing w:before="0" w:after="160" w:line="240" w:lineRule="auto"/>
        <w:jc w:val="both"/>
        <w:rPr>
          <w:rFonts w:ascii="Times New Roman" w:eastAsia="Times New Roman" w:hAnsi="Times New Roman" w:cs="Times New Roman"/>
          <w:b/>
          <w:bCs/>
          <w:color w:val="000000"/>
          <w:sz w:val="24"/>
          <w:szCs w:val="24"/>
        </w:rPr>
      </w:pPr>
      <w:r w:rsidRPr="63DCED76">
        <w:rPr>
          <w:rFonts w:ascii="Times New Roman" w:eastAsia="Times New Roman" w:hAnsi="Times New Roman" w:cs="Times New Roman"/>
          <w:b/>
          <w:bCs/>
          <w:color w:val="000000" w:themeColor="text1"/>
          <w:sz w:val="24"/>
          <w:szCs w:val="24"/>
        </w:rPr>
        <w:t>Abstract</w:t>
      </w:r>
    </w:p>
    <w:p w14:paraId="00000004" w14:textId="06A4812A" w:rsidR="00356CC7" w:rsidRDefault="72B69E13" w:rsidP="6B65F250">
      <w:pPr>
        <w:pBdr>
          <w:top w:val="nil"/>
          <w:left w:val="nil"/>
          <w:bottom w:val="nil"/>
          <w:right w:val="nil"/>
          <w:between w:val="nil"/>
        </w:pBdr>
        <w:spacing w:after="160" w:line="240" w:lineRule="auto"/>
        <w:jc w:val="both"/>
        <w:rPr>
          <w:rFonts w:ascii="Times New Roman" w:eastAsia="Times New Roman" w:hAnsi="Times New Roman" w:cs="Times New Roman"/>
          <w:sz w:val="24"/>
          <w:szCs w:val="24"/>
        </w:rPr>
      </w:pPr>
      <w:r w:rsidRPr="72B69E13">
        <w:rPr>
          <w:rFonts w:ascii="Times New Roman" w:eastAsia="Times New Roman" w:hAnsi="Times New Roman" w:cs="Times New Roman"/>
          <w:sz w:val="24"/>
          <w:szCs w:val="24"/>
        </w:rPr>
        <w:t xml:space="preserve">The data presented in this article challenge two assumptions that have been held widely among movement thinkers and practitioners: “Movements can only happen after lengthy previous gospel proclamation, by the actual movement catalyst or by preceding pioneers”; </w:t>
      </w:r>
      <w:proofErr w:type="gramStart"/>
      <w:r w:rsidRPr="72B69E13">
        <w:rPr>
          <w:rFonts w:ascii="Times New Roman" w:eastAsia="Times New Roman" w:hAnsi="Times New Roman" w:cs="Times New Roman"/>
          <w:sz w:val="24"/>
          <w:szCs w:val="24"/>
        </w:rPr>
        <w:t>and,</w:t>
      </w:r>
      <w:proofErr w:type="gramEnd"/>
      <w:r w:rsidRPr="72B69E13">
        <w:rPr>
          <w:rFonts w:ascii="Times New Roman" w:eastAsia="Times New Roman" w:hAnsi="Times New Roman" w:cs="Times New Roman"/>
          <w:sz w:val="24"/>
          <w:szCs w:val="24"/>
        </w:rPr>
        <w:t xml:space="preserve"> “Movements only occur among people groups that are receptive to the gospel.” Both notions are challenged by the data of recent research into 35 different movements.</w:t>
      </w:r>
    </w:p>
    <w:p w14:paraId="00000005" w14:textId="2FABFBF3" w:rsidR="00356CC7" w:rsidRDefault="63DCED76" w:rsidP="63DCED76">
      <w:pPr>
        <w:pBdr>
          <w:top w:val="nil"/>
          <w:left w:val="nil"/>
          <w:bottom w:val="nil"/>
          <w:right w:val="nil"/>
          <w:between w:val="nil"/>
        </w:pBdr>
        <w:spacing w:after="160" w:line="240" w:lineRule="auto"/>
        <w:jc w:val="both"/>
        <w:rPr>
          <w:rFonts w:ascii="Times New Roman" w:eastAsia="Times New Roman" w:hAnsi="Times New Roman" w:cs="Times New Roman"/>
          <w:sz w:val="24"/>
          <w:szCs w:val="24"/>
        </w:rPr>
      </w:pPr>
      <w:r w:rsidRPr="63DCED76">
        <w:rPr>
          <w:rFonts w:ascii="Times New Roman" w:eastAsia="Times New Roman" w:hAnsi="Times New Roman" w:cs="Times New Roman"/>
          <w:b/>
          <w:bCs/>
          <w:sz w:val="24"/>
          <w:szCs w:val="24"/>
        </w:rPr>
        <w:t xml:space="preserve">Key Words: </w:t>
      </w:r>
      <w:r w:rsidRPr="63DCED76">
        <w:rPr>
          <w:rFonts w:ascii="Times New Roman" w:eastAsia="Times New Roman" w:hAnsi="Times New Roman" w:cs="Times New Roman"/>
          <w:sz w:val="24"/>
          <w:szCs w:val="24"/>
        </w:rPr>
        <w:t>catalyst, movement, pioneer</w:t>
      </w:r>
    </w:p>
    <w:p w14:paraId="00000006" w14:textId="77777777" w:rsidR="00356CC7" w:rsidRDefault="63DCED76" w:rsidP="63DCED76">
      <w:pPr>
        <w:pStyle w:val="Heading1"/>
        <w:spacing w:before="0" w:after="160" w:line="240" w:lineRule="auto"/>
        <w:jc w:val="both"/>
        <w:rPr>
          <w:rFonts w:ascii="Times New Roman" w:eastAsia="Times New Roman" w:hAnsi="Times New Roman" w:cs="Times New Roman"/>
          <w:b/>
          <w:bCs/>
          <w:color w:val="000000"/>
          <w:sz w:val="24"/>
          <w:szCs w:val="24"/>
        </w:rPr>
      </w:pPr>
      <w:r w:rsidRPr="63DCED76">
        <w:rPr>
          <w:rFonts w:ascii="Times New Roman" w:eastAsia="Times New Roman" w:hAnsi="Times New Roman" w:cs="Times New Roman"/>
          <w:b/>
          <w:bCs/>
          <w:color w:val="000000" w:themeColor="text1"/>
          <w:sz w:val="24"/>
          <w:szCs w:val="24"/>
        </w:rPr>
        <w:t>Introduction</w:t>
      </w:r>
    </w:p>
    <w:p w14:paraId="00000008" w14:textId="5D6A9CAC" w:rsidR="00356CC7" w:rsidRDefault="53CE7795" w:rsidP="6B65F250">
      <w:pPr>
        <w:pBdr>
          <w:top w:val="nil"/>
          <w:left w:val="nil"/>
          <w:bottom w:val="nil"/>
          <w:right w:val="nil"/>
          <w:between w:val="nil"/>
        </w:pBdr>
        <w:spacing w:after="160" w:line="240" w:lineRule="auto"/>
        <w:jc w:val="both"/>
        <w:rPr>
          <w:rFonts w:ascii="Times New Roman" w:eastAsia="Times New Roman" w:hAnsi="Times New Roman" w:cs="Times New Roman"/>
          <w:sz w:val="24"/>
          <w:szCs w:val="24"/>
        </w:rPr>
      </w:pPr>
      <w:r w:rsidRPr="53CE7795">
        <w:rPr>
          <w:rFonts w:ascii="Times New Roman" w:eastAsia="Times New Roman" w:hAnsi="Times New Roman" w:cs="Times New Roman"/>
          <w:sz w:val="24"/>
          <w:szCs w:val="24"/>
        </w:rPr>
        <w:t xml:space="preserve">This study’s recent research among 35 movements in 15 different countries suggests fresh consideration of two very important questions: “Must a movement build on lengthy previous gospel proclamation?” and “Do movements only occur among receptive people groups?” Commonly held assumptions of affirmative answers to these questions may unnecessarily have hindered efforts to initiate movements, </w:t>
      </w:r>
      <w:proofErr w:type="gramStart"/>
      <w:r w:rsidRPr="53CE7795">
        <w:rPr>
          <w:rFonts w:ascii="Times New Roman" w:eastAsia="Times New Roman" w:hAnsi="Times New Roman" w:cs="Times New Roman"/>
          <w:sz w:val="24"/>
          <w:szCs w:val="24"/>
        </w:rPr>
        <w:t>in particular among</w:t>
      </w:r>
      <w:proofErr w:type="gramEnd"/>
      <w:r w:rsidRPr="53CE7795">
        <w:rPr>
          <w:rFonts w:ascii="Times New Roman" w:eastAsia="Times New Roman" w:hAnsi="Times New Roman" w:cs="Times New Roman"/>
          <w:sz w:val="24"/>
          <w:szCs w:val="24"/>
        </w:rPr>
        <w:t xml:space="preserve"> unreached Muslim peoples.</w:t>
      </w:r>
    </w:p>
    <w:p w14:paraId="0000000A" w14:textId="6AADEFF7" w:rsidR="00356CC7" w:rsidRDefault="6B65F250"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sz w:val="24"/>
          <w:szCs w:val="24"/>
        </w:rPr>
      </w:pPr>
      <w:r w:rsidRPr="6B65F250">
        <w:rPr>
          <w:rFonts w:ascii="Times New Roman" w:eastAsia="Times New Roman" w:hAnsi="Times New Roman" w:cs="Times New Roman"/>
          <w:sz w:val="24"/>
          <w:szCs w:val="24"/>
        </w:rPr>
        <w:t>The movements examined in this study represent the major regions of the Muslim world, including West Africa, East Africa, the Arab World, Turkestan, South Asia, and Southeast Asia (also referred to as Indo-Malaysia). Most movements researched took place in Indonesia (18). Other countries with multiple movements included in the study are India (3), Jordan (2), Ethiopia (2), and Bangladesh (2). One church planting movement is underway in each of the following: Burkina Faso, Cote d’Ivoire, Mozambique, Sudan, Pakistan, China, and Myanmar. One movement has grown from Kenya across the borders into Somalia and Tanzania.</w:t>
      </w:r>
    </w:p>
    <w:p w14:paraId="03D616B9" w14:textId="0C9E6760" w:rsidR="00356CC7" w:rsidRDefault="53CE7795"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b/>
          <w:bCs/>
          <w:color w:val="000000" w:themeColor="text1"/>
          <w:sz w:val="24"/>
          <w:szCs w:val="24"/>
        </w:rPr>
      </w:pPr>
      <w:r w:rsidRPr="53CE7795">
        <w:rPr>
          <w:rFonts w:ascii="Times New Roman" w:eastAsia="Times New Roman" w:hAnsi="Times New Roman" w:cs="Times New Roman"/>
          <w:sz w:val="24"/>
          <w:szCs w:val="24"/>
        </w:rPr>
        <w:t xml:space="preserve">Of the nine regions of the Muslim world that Garrison describes as the different </w:t>
      </w:r>
      <w:r w:rsidRPr="53CE7795">
        <w:rPr>
          <w:rFonts w:ascii="Times New Roman" w:eastAsia="Times New Roman" w:hAnsi="Times New Roman" w:cs="Times New Roman"/>
          <w:i/>
          <w:iCs/>
          <w:sz w:val="24"/>
          <w:szCs w:val="24"/>
        </w:rPr>
        <w:t>Rooms in the House of Islam</w:t>
      </w:r>
      <w:r w:rsidRPr="53CE7795">
        <w:rPr>
          <w:rFonts w:ascii="Times New Roman" w:eastAsia="Times New Roman" w:hAnsi="Times New Roman" w:cs="Times New Roman"/>
          <w:sz w:val="24"/>
          <w:szCs w:val="24"/>
        </w:rPr>
        <w:t xml:space="preserve"> (2014), only North Africa and the Persian world are not represented in this study. (The initial pioneer leaders of the two movements in these regions have passed on and were thus unable to contribute to the research.) The movement among the Kabyle-Berber of Algeria was catalyzed in the 1970s (Marsh 1997; Blanc 2006), and the one among the Persians of Iran in the 1980s (Garrison 2014, 90-94, 130-141).</w:t>
      </w:r>
    </w:p>
    <w:p w14:paraId="0000000E" w14:textId="5C378DA6" w:rsidR="00356CC7" w:rsidRDefault="6B65F250" w:rsidP="6B65F250">
      <w:pPr>
        <w:pBdr>
          <w:top w:val="nil"/>
          <w:left w:val="nil"/>
          <w:bottom w:val="nil"/>
          <w:right w:val="nil"/>
          <w:between w:val="nil"/>
        </w:pBdr>
        <w:spacing w:after="160" w:line="240" w:lineRule="auto"/>
        <w:jc w:val="both"/>
        <w:rPr>
          <w:rFonts w:ascii="Times New Roman" w:eastAsia="Times New Roman" w:hAnsi="Times New Roman" w:cs="Times New Roman"/>
          <w:b/>
          <w:bCs/>
          <w:color w:val="000000"/>
          <w:sz w:val="24"/>
          <w:szCs w:val="24"/>
        </w:rPr>
      </w:pPr>
      <w:r w:rsidRPr="6B65F250">
        <w:rPr>
          <w:rFonts w:ascii="Times New Roman" w:eastAsia="Times New Roman" w:hAnsi="Times New Roman" w:cs="Times New Roman"/>
          <w:b/>
          <w:bCs/>
          <w:color w:val="000000" w:themeColor="text1"/>
          <w:sz w:val="24"/>
          <w:szCs w:val="24"/>
        </w:rPr>
        <w:t>Biblical and Theological Foundations</w:t>
      </w:r>
    </w:p>
    <w:p w14:paraId="00000010" w14:textId="1AFCAF7D" w:rsidR="00356CC7" w:rsidRDefault="53CE7795" w:rsidP="6B65F250">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53CE7795">
        <w:rPr>
          <w:rFonts w:ascii="Times New Roman" w:eastAsia="Times New Roman" w:hAnsi="Times New Roman" w:cs="Times New Roman"/>
          <w:color w:val="000000" w:themeColor="text1"/>
          <w:sz w:val="24"/>
          <w:szCs w:val="24"/>
        </w:rPr>
        <w:t>The research for this study rests on the conviction that three factors influence the emergence or impediment of movements: the sovereignty of God, the receptivity of the gospel’s recipients, and the person (traits) and ministry (competencies) of the pioneer (Packer 1961; 2008; Clark 2006; Snyder 2010).</w:t>
      </w:r>
    </w:p>
    <w:p w14:paraId="00000012" w14:textId="14A75D4F" w:rsidR="00356CC7" w:rsidRDefault="53CE7795"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sz w:val="24"/>
          <w:szCs w:val="24"/>
        </w:rPr>
      </w:pPr>
      <w:r w:rsidRPr="53CE7795">
        <w:rPr>
          <w:rFonts w:ascii="Times New Roman" w:eastAsia="Times New Roman" w:hAnsi="Times New Roman" w:cs="Times New Roman"/>
          <w:color w:val="000000" w:themeColor="text1"/>
          <w:sz w:val="24"/>
          <w:szCs w:val="24"/>
        </w:rPr>
        <w:t>The first factor, the sovereignty of God, eludes all human investigation (Luther [1516] 1937; Calvin [1536] 1989; Grudem 1994). This elusiveness reflects the Apostle Paul’s conviction, “How unsearchable are his judgments and how inscrutable his ways!” (Rom. 11:33; all Scripture quotations are from the ESV). This study rests on the theological foundation of God’s sovereignty and human responsibility.</w:t>
      </w:r>
    </w:p>
    <w:p w14:paraId="00000013" w14:textId="73BD8A09" w:rsidR="00356CC7" w:rsidRDefault="53CE7795" w:rsidP="63DCED76">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sz w:val="24"/>
          <w:szCs w:val="24"/>
        </w:rPr>
      </w:pPr>
      <w:r w:rsidRPr="53CE7795">
        <w:rPr>
          <w:rFonts w:ascii="Times New Roman" w:eastAsia="Times New Roman" w:hAnsi="Times New Roman" w:cs="Times New Roman"/>
          <w:color w:val="000000" w:themeColor="text1"/>
          <w:sz w:val="24"/>
          <w:szCs w:val="24"/>
        </w:rPr>
        <w:lastRenderedPageBreak/>
        <w:t>God determines “all things” (Eph. 1:11) according to his perfect, eternal will and plan. At the same time, humans are responsible for their every action, and their decisions are genuine decisions: they have a real impact on the outcome of events (Grudem 1994, 315-337). These convictions mean that the following propositions are equally true (Packer 1961; 2008; Clark 2013):</w:t>
      </w:r>
    </w:p>
    <w:p w14:paraId="00000014" w14:textId="77777777" w:rsidR="00356CC7" w:rsidRDefault="008F3C1E" w:rsidP="63DCED76">
      <w:pPr>
        <w:pBdr>
          <w:top w:val="nil"/>
          <w:left w:val="nil"/>
          <w:bottom w:val="nil"/>
          <w:right w:val="nil"/>
          <w:between w:val="nil"/>
        </w:pBdr>
        <w:spacing w:after="160" w:line="240" w:lineRule="auto"/>
        <w:ind w:left="360" w:right="360"/>
        <w:jc w:val="both"/>
        <w:rPr>
          <w:rFonts w:ascii="Times New Roman" w:eastAsia="Times New Roman" w:hAnsi="Times New Roman" w:cs="Times New Roman"/>
          <w:color w:val="000000"/>
          <w:sz w:val="24"/>
          <w:szCs w:val="24"/>
        </w:rPr>
      </w:pPr>
      <w:r w:rsidRPr="63DCED76">
        <w:rPr>
          <w:rFonts w:ascii="Times New Roman" w:eastAsia="Times New Roman" w:hAnsi="Times New Roman" w:cs="Times New Roman"/>
          <w:color w:val="000000"/>
          <w:sz w:val="24"/>
          <w:szCs w:val="24"/>
        </w:rPr>
        <w:t>• Wherever people come to faith in Christ Jesus, it is ultimately because of God’s sovereign election and predestination. Wherever a movement emerges, God has sovereignly willed for it to happen.</w:t>
      </w:r>
    </w:p>
    <w:p w14:paraId="00000015" w14:textId="77777777" w:rsidR="00356CC7" w:rsidRDefault="008F3C1E" w:rsidP="63DCED76">
      <w:pPr>
        <w:pBdr>
          <w:top w:val="nil"/>
          <w:left w:val="nil"/>
          <w:bottom w:val="nil"/>
          <w:right w:val="nil"/>
          <w:between w:val="nil"/>
        </w:pBdr>
        <w:spacing w:after="160" w:line="240" w:lineRule="auto"/>
        <w:ind w:left="360" w:right="360"/>
        <w:jc w:val="both"/>
        <w:rPr>
          <w:rFonts w:ascii="Times New Roman" w:eastAsia="Times New Roman" w:hAnsi="Times New Roman" w:cs="Times New Roman"/>
          <w:color w:val="000000"/>
          <w:sz w:val="24"/>
          <w:szCs w:val="24"/>
        </w:rPr>
      </w:pPr>
      <w:r w:rsidRPr="63DCED76">
        <w:rPr>
          <w:rFonts w:ascii="Times New Roman" w:eastAsia="Times New Roman" w:hAnsi="Times New Roman" w:cs="Times New Roman"/>
          <w:color w:val="000000"/>
          <w:sz w:val="24"/>
          <w:szCs w:val="24"/>
        </w:rPr>
        <w:t>• Each person who hears the gospel (assuming sufficient maturity and mental faculties) has the capacity to make a genuine decision in rejecting or accepting Jesus Christ, a decision for which they will be held responsible. Wherever the message of Jesus Christ has been adequately proclaimed and people have not received it, they have willfully rejected the gospel.</w:t>
      </w:r>
    </w:p>
    <w:p w14:paraId="00000016" w14:textId="7CAEDD47" w:rsidR="00356CC7" w:rsidRDefault="008F3C1E" w:rsidP="6B65F250">
      <w:pPr>
        <w:pBdr>
          <w:top w:val="nil"/>
          <w:left w:val="nil"/>
          <w:bottom w:val="nil"/>
          <w:right w:val="nil"/>
          <w:between w:val="nil"/>
        </w:pBdr>
        <w:spacing w:after="160" w:line="240" w:lineRule="auto"/>
        <w:ind w:left="360" w:right="360"/>
        <w:jc w:val="both"/>
        <w:rPr>
          <w:rFonts w:ascii="Times New Roman" w:eastAsia="Times New Roman" w:hAnsi="Times New Roman" w:cs="Times New Roman"/>
          <w:color w:val="000000"/>
          <w:sz w:val="24"/>
          <w:szCs w:val="24"/>
        </w:rPr>
      </w:pPr>
      <w:r w:rsidRPr="6B65F250">
        <w:rPr>
          <w:rFonts w:ascii="Times New Roman" w:eastAsia="Times New Roman" w:hAnsi="Times New Roman" w:cs="Times New Roman"/>
          <w:color w:val="000000"/>
          <w:sz w:val="24"/>
          <w:szCs w:val="24"/>
        </w:rPr>
        <w:t>• All pioneers make genuine decisions about how to live their lives and carry out their ministries among the societies where they live and serve. Those decisions can be conducive to or impede the catalyzing of a movement (</w:t>
      </w:r>
      <w:proofErr w:type="spellStart"/>
      <w:r w:rsidRPr="6B65F250">
        <w:rPr>
          <w:rFonts w:ascii="Times New Roman" w:eastAsia="Times New Roman" w:hAnsi="Times New Roman" w:cs="Times New Roman"/>
          <w:color w:val="000000"/>
          <w:sz w:val="24"/>
          <w:szCs w:val="24"/>
        </w:rPr>
        <w:t>Goldmann</w:t>
      </w:r>
      <w:proofErr w:type="spellEnd"/>
      <w:r w:rsidRPr="6B65F250">
        <w:rPr>
          <w:rFonts w:ascii="Times New Roman" w:eastAsia="Times New Roman" w:hAnsi="Times New Roman" w:cs="Times New Roman"/>
          <w:color w:val="000000"/>
          <w:sz w:val="24"/>
          <w:szCs w:val="24"/>
        </w:rPr>
        <w:t xml:space="preserve"> 2006).</w:t>
      </w:r>
    </w:p>
    <w:p w14:paraId="00000018" w14:textId="24C4FAAF" w:rsidR="00356CC7" w:rsidRDefault="53CE7795"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sz w:val="24"/>
          <w:szCs w:val="24"/>
        </w:rPr>
      </w:pPr>
      <w:r w:rsidRPr="53CE7795">
        <w:rPr>
          <w:rFonts w:ascii="Times New Roman" w:eastAsia="Times New Roman" w:hAnsi="Times New Roman" w:cs="Times New Roman"/>
          <w:color w:val="000000" w:themeColor="text1"/>
          <w:sz w:val="24"/>
          <w:szCs w:val="24"/>
        </w:rPr>
        <w:t xml:space="preserve">The second factor affecting effective catalyzation of a movement is the receptivity of the people among whom the good news is spread. The Bible teaches that the amount of fruit may not lie in the effort of the </w:t>
      </w:r>
      <w:proofErr w:type="spellStart"/>
      <w:r w:rsidRPr="53CE7795">
        <w:rPr>
          <w:rFonts w:ascii="Times New Roman" w:eastAsia="Times New Roman" w:hAnsi="Times New Roman" w:cs="Times New Roman"/>
          <w:color w:val="000000" w:themeColor="text1"/>
          <w:sz w:val="24"/>
          <w:szCs w:val="24"/>
        </w:rPr>
        <w:t>sower</w:t>
      </w:r>
      <w:proofErr w:type="spellEnd"/>
      <w:r w:rsidRPr="53CE7795">
        <w:rPr>
          <w:rFonts w:ascii="Times New Roman" w:eastAsia="Times New Roman" w:hAnsi="Times New Roman" w:cs="Times New Roman"/>
          <w:color w:val="000000" w:themeColor="text1"/>
          <w:sz w:val="24"/>
          <w:szCs w:val="24"/>
        </w:rPr>
        <w:t>, but in the fertility of the soil (see Matt. 13:23). A rough survey of the world today confirms this teaching. Some people groups and regions show great receptivity, and almost every church planting team serving among those groups and regions sees fruit. Examples among Muslim peoples include Albanians and the Kabyle Berbers in North Africa (</w:t>
      </w:r>
      <w:proofErr w:type="spellStart"/>
      <w:r w:rsidRPr="53CE7795">
        <w:rPr>
          <w:rFonts w:ascii="Times New Roman" w:eastAsia="Times New Roman" w:hAnsi="Times New Roman" w:cs="Times New Roman"/>
          <w:color w:val="000000" w:themeColor="text1"/>
          <w:sz w:val="24"/>
          <w:szCs w:val="24"/>
        </w:rPr>
        <w:t>Mandryk</w:t>
      </w:r>
      <w:proofErr w:type="spellEnd"/>
      <w:r w:rsidRPr="53CE7795">
        <w:rPr>
          <w:rFonts w:ascii="Times New Roman" w:eastAsia="Times New Roman" w:hAnsi="Times New Roman" w:cs="Times New Roman"/>
          <w:color w:val="000000" w:themeColor="text1"/>
          <w:sz w:val="24"/>
          <w:szCs w:val="24"/>
        </w:rPr>
        <w:t xml:space="preserve"> 2010, 95, 98; Blanc 2006). Some other people groups seem so unreceptive that church planting teams have seen hardly any fruit at all, for example the Malay and Bruneians (</w:t>
      </w:r>
      <w:proofErr w:type="spellStart"/>
      <w:r w:rsidRPr="53CE7795">
        <w:rPr>
          <w:rFonts w:ascii="Times New Roman" w:eastAsia="Times New Roman" w:hAnsi="Times New Roman" w:cs="Times New Roman"/>
          <w:color w:val="000000" w:themeColor="text1"/>
          <w:sz w:val="24"/>
          <w:szCs w:val="24"/>
        </w:rPr>
        <w:t>Mandryk</w:t>
      </w:r>
      <w:proofErr w:type="spellEnd"/>
      <w:r w:rsidRPr="53CE7795">
        <w:rPr>
          <w:rFonts w:ascii="Times New Roman" w:eastAsia="Times New Roman" w:hAnsi="Times New Roman" w:cs="Times New Roman"/>
          <w:color w:val="000000" w:themeColor="text1"/>
          <w:sz w:val="24"/>
          <w:szCs w:val="24"/>
        </w:rPr>
        <w:t xml:space="preserve"> 2010, 557, 172).</w:t>
      </w:r>
    </w:p>
    <w:p w14:paraId="0000001A" w14:textId="7FF52B67" w:rsidR="00356CC7" w:rsidRDefault="008F3C1E"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sz w:val="24"/>
          <w:szCs w:val="24"/>
        </w:rPr>
      </w:pPr>
      <w:r w:rsidRPr="6B65F250">
        <w:rPr>
          <w:rFonts w:ascii="Times New Roman" w:eastAsia="Times New Roman" w:hAnsi="Times New Roman" w:cs="Times New Roman"/>
          <w:color w:val="000000"/>
          <w:sz w:val="24"/>
          <w:szCs w:val="24"/>
        </w:rPr>
        <w:t xml:space="preserve">The third factor related to catalyzing a movement is the person of the pioneer. While affirming the above theological factors, the pioneer leader remains a critical factor in </w:t>
      </w:r>
      <w:proofErr w:type="gramStart"/>
      <w:r w:rsidRPr="6B65F250">
        <w:rPr>
          <w:rFonts w:ascii="Times New Roman" w:eastAsia="Times New Roman" w:hAnsi="Times New Roman" w:cs="Times New Roman"/>
          <w:color w:val="000000"/>
          <w:sz w:val="24"/>
          <w:szCs w:val="24"/>
        </w:rPr>
        <w:t>whether or not</w:t>
      </w:r>
      <w:proofErr w:type="gramEnd"/>
      <w:r w:rsidRPr="6B65F250">
        <w:rPr>
          <w:rFonts w:ascii="Times New Roman" w:eastAsia="Times New Roman" w:hAnsi="Times New Roman" w:cs="Times New Roman"/>
          <w:color w:val="000000"/>
          <w:sz w:val="24"/>
          <w:szCs w:val="24"/>
        </w:rPr>
        <w:t xml:space="preserve"> a movement emerges. We teach what we know, but we reproduce </w:t>
      </w:r>
      <w:r w:rsidRPr="6B65F250">
        <w:rPr>
          <w:rFonts w:ascii="Times New Roman" w:eastAsia="Times New Roman" w:hAnsi="Times New Roman" w:cs="Times New Roman"/>
          <w:i/>
          <w:iCs/>
          <w:color w:val="000000"/>
          <w:sz w:val="24"/>
          <w:szCs w:val="24"/>
        </w:rPr>
        <w:t>who we are</w:t>
      </w:r>
      <w:r w:rsidRPr="6B65F250">
        <w:rPr>
          <w:rFonts w:ascii="Times New Roman" w:eastAsia="Times New Roman" w:hAnsi="Times New Roman" w:cs="Times New Roman"/>
          <w:color w:val="000000"/>
          <w:sz w:val="24"/>
          <w:szCs w:val="24"/>
        </w:rPr>
        <w:t xml:space="preserve">. Modeling plays </w:t>
      </w:r>
      <w:proofErr w:type="gramStart"/>
      <w:r w:rsidRPr="6B65F250">
        <w:rPr>
          <w:rFonts w:ascii="Times New Roman" w:eastAsia="Times New Roman" w:hAnsi="Times New Roman" w:cs="Times New Roman"/>
          <w:color w:val="000000"/>
          <w:sz w:val="24"/>
          <w:szCs w:val="24"/>
        </w:rPr>
        <w:t>an absolutely essential</w:t>
      </w:r>
      <w:proofErr w:type="gramEnd"/>
      <w:r w:rsidRPr="6B65F250">
        <w:rPr>
          <w:rFonts w:ascii="Times New Roman" w:eastAsia="Times New Roman" w:hAnsi="Times New Roman" w:cs="Times New Roman"/>
          <w:color w:val="000000"/>
          <w:sz w:val="24"/>
          <w:szCs w:val="24"/>
        </w:rPr>
        <w:t xml:space="preserve"> role in Christian discipleship (2 Tim. 3:10). Thus, the traits of pioneers will influence their effectiveness.</w:t>
      </w:r>
    </w:p>
    <w:p w14:paraId="0000001C" w14:textId="77777777" w:rsidR="00356CC7" w:rsidRDefault="008F3C1E" w:rsidP="63DCED76">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sz w:val="24"/>
          <w:szCs w:val="24"/>
        </w:rPr>
      </w:pPr>
      <w:r w:rsidRPr="63DCED76">
        <w:rPr>
          <w:rFonts w:ascii="Times New Roman" w:eastAsia="Times New Roman" w:hAnsi="Times New Roman" w:cs="Times New Roman"/>
          <w:color w:val="000000"/>
          <w:sz w:val="24"/>
          <w:szCs w:val="24"/>
        </w:rPr>
        <w:t>Since God has chosen to use human agents to take the good news of his kingdom to mankind, the person of the disciple maker impacts the results in pioneer church planting. The Apostle Paul’s sequential chain in Romans 10 seems to indicate the critical factor of the pioneering gospel messenger. Romans 10:14-15 outlines the chain that must occur for unreached peoples to come to faith in the gospel:</w:t>
      </w:r>
    </w:p>
    <w:p w14:paraId="0000001D" w14:textId="27D69882" w:rsidR="00356CC7" w:rsidRDefault="008F3C1E" w:rsidP="6B65F250">
      <w:pPr>
        <w:pBdr>
          <w:top w:val="nil"/>
          <w:left w:val="nil"/>
          <w:bottom w:val="nil"/>
          <w:right w:val="nil"/>
          <w:between w:val="nil"/>
        </w:pBdr>
        <w:spacing w:after="0" w:line="240" w:lineRule="auto"/>
        <w:ind w:left="720" w:right="360" w:hanging="360"/>
        <w:jc w:val="both"/>
        <w:rPr>
          <w:rFonts w:ascii="Times New Roman" w:eastAsia="Times New Roman" w:hAnsi="Times New Roman" w:cs="Times New Roman"/>
          <w:color w:val="000000"/>
          <w:sz w:val="24"/>
          <w:szCs w:val="24"/>
        </w:rPr>
      </w:pPr>
      <w:r w:rsidRPr="6B65F250">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sidRPr="6B65F250">
        <w:rPr>
          <w:rFonts w:ascii="Times New Roman" w:eastAsia="Times New Roman" w:hAnsi="Times New Roman" w:cs="Times New Roman"/>
          <w:color w:val="000000"/>
          <w:sz w:val="24"/>
          <w:szCs w:val="24"/>
        </w:rPr>
        <w:t>God sends (ἀπ</w:t>
      </w:r>
      <w:proofErr w:type="spellStart"/>
      <w:r w:rsidRPr="6B65F250">
        <w:rPr>
          <w:rFonts w:ascii="Times New Roman" w:eastAsia="Times New Roman" w:hAnsi="Times New Roman" w:cs="Times New Roman"/>
          <w:color w:val="000000"/>
          <w:sz w:val="24"/>
          <w:szCs w:val="24"/>
        </w:rPr>
        <w:t>οστ</w:t>
      </w:r>
      <w:proofErr w:type="spellEnd"/>
      <w:r w:rsidRPr="6B65F250">
        <w:rPr>
          <w:rFonts w:ascii="Times New Roman" w:eastAsia="Times New Roman" w:hAnsi="Times New Roman" w:cs="Times New Roman"/>
          <w:color w:val="000000"/>
          <w:sz w:val="24"/>
          <w:szCs w:val="24"/>
        </w:rPr>
        <w:t xml:space="preserve">αλῶσιν - </w:t>
      </w:r>
      <w:proofErr w:type="spellStart"/>
      <w:r w:rsidRPr="6B65F250">
        <w:rPr>
          <w:rFonts w:ascii="Times New Roman" w:eastAsia="Times New Roman" w:hAnsi="Times New Roman" w:cs="Times New Roman"/>
          <w:i/>
          <w:iCs/>
          <w:color w:val="000000"/>
          <w:sz w:val="24"/>
          <w:szCs w:val="24"/>
        </w:rPr>
        <w:t>apostalosin</w:t>
      </w:r>
      <w:proofErr w:type="spellEnd"/>
      <w:r w:rsidRPr="6B65F250">
        <w:rPr>
          <w:rFonts w:ascii="Times New Roman" w:eastAsia="Times New Roman" w:hAnsi="Times New Roman" w:cs="Times New Roman"/>
          <w:color w:val="000000"/>
          <w:sz w:val="24"/>
          <w:szCs w:val="24"/>
        </w:rPr>
        <w:t>) a “sent one” (the meaning of “apostle” or “missionary”).</w:t>
      </w:r>
    </w:p>
    <w:p w14:paraId="0000001E" w14:textId="77777777" w:rsidR="00356CC7" w:rsidRDefault="008F3C1E" w:rsidP="63DCED76">
      <w:pPr>
        <w:pBdr>
          <w:top w:val="nil"/>
          <w:left w:val="nil"/>
          <w:bottom w:val="nil"/>
          <w:right w:val="nil"/>
          <w:between w:val="nil"/>
        </w:pBdr>
        <w:spacing w:after="0" w:line="240" w:lineRule="auto"/>
        <w:ind w:left="720" w:right="360" w:hanging="360"/>
        <w:jc w:val="both"/>
        <w:rPr>
          <w:rFonts w:ascii="Times New Roman" w:eastAsia="Times New Roman" w:hAnsi="Times New Roman" w:cs="Times New Roman"/>
          <w:color w:val="000000"/>
          <w:sz w:val="24"/>
          <w:szCs w:val="24"/>
        </w:rPr>
      </w:pPr>
      <w:r w:rsidRPr="63DCED7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Pr="63DCED76">
        <w:rPr>
          <w:rFonts w:ascii="Times New Roman" w:eastAsia="Times New Roman" w:hAnsi="Times New Roman" w:cs="Times New Roman"/>
          <w:color w:val="000000"/>
          <w:sz w:val="24"/>
          <w:szCs w:val="24"/>
        </w:rPr>
        <w:t>The sent one preaches.</w:t>
      </w:r>
    </w:p>
    <w:p w14:paraId="0000001F" w14:textId="77777777" w:rsidR="00356CC7" w:rsidRDefault="008F3C1E" w:rsidP="63DCED76">
      <w:pPr>
        <w:pBdr>
          <w:top w:val="nil"/>
          <w:left w:val="nil"/>
          <w:bottom w:val="nil"/>
          <w:right w:val="nil"/>
          <w:between w:val="nil"/>
        </w:pBdr>
        <w:spacing w:after="0" w:line="240" w:lineRule="auto"/>
        <w:ind w:left="720" w:right="360" w:hanging="360"/>
        <w:jc w:val="both"/>
        <w:rPr>
          <w:rFonts w:ascii="Times New Roman" w:eastAsia="Times New Roman" w:hAnsi="Times New Roman" w:cs="Times New Roman"/>
          <w:color w:val="000000"/>
          <w:sz w:val="24"/>
          <w:szCs w:val="24"/>
        </w:rPr>
      </w:pPr>
      <w:r w:rsidRPr="63DCED76">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sidRPr="63DCED76">
        <w:rPr>
          <w:rFonts w:ascii="Times New Roman" w:eastAsia="Times New Roman" w:hAnsi="Times New Roman" w:cs="Times New Roman"/>
          <w:color w:val="000000"/>
          <w:sz w:val="24"/>
          <w:szCs w:val="24"/>
        </w:rPr>
        <w:t>The unbeliever hears.</w:t>
      </w:r>
    </w:p>
    <w:p w14:paraId="00000020" w14:textId="77777777" w:rsidR="00356CC7" w:rsidRDefault="008F3C1E" w:rsidP="63DCED76">
      <w:pPr>
        <w:pBdr>
          <w:top w:val="nil"/>
          <w:left w:val="nil"/>
          <w:bottom w:val="nil"/>
          <w:right w:val="nil"/>
          <w:between w:val="nil"/>
        </w:pBdr>
        <w:spacing w:after="0" w:line="240" w:lineRule="auto"/>
        <w:ind w:left="720" w:right="360" w:hanging="360"/>
        <w:jc w:val="both"/>
        <w:rPr>
          <w:rFonts w:ascii="Times New Roman" w:eastAsia="Times New Roman" w:hAnsi="Times New Roman" w:cs="Times New Roman"/>
          <w:color w:val="000000"/>
          <w:sz w:val="24"/>
          <w:szCs w:val="24"/>
        </w:rPr>
      </w:pPr>
      <w:r w:rsidRPr="63DCED7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r w:rsidRPr="63DCED76">
        <w:rPr>
          <w:rFonts w:ascii="Times New Roman" w:eastAsia="Times New Roman" w:hAnsi="Times New Roman" w:cs="Times New Roman"/>
          <w:color w:val="000000"/>
          <w:sz w:val="24"/>
          <w:szCs w:val="24"/>
        </w:rPr>
        <w:t>The unbeliever believes.</w:t>
      </w:r>
    </w:p>
    <w:p w14:paraId="00000021" w14:textId="77777777" w:rsidR="00356CC7" w:rsidRDefault="008F3C1E" w:rsidP="63DCED76">
      <w:pPr>
        <w:pBdr>
          <w:top w:val="nil"/>
          <w:left w:val="nil"/>
          <w:bottom w:val="nil"/>
          <w:right w:val="nil"/>
          <w:between w:val="nil"/>
        </w:pBdr>
        <w:spacing w:after="0" w:line="240" w:lineRule="auto"/>
        <w:ind w:left="720" w:right="360" w:hanging="360"/>
        <w:jc w:val="both"/>
        <w:rPr>
          <w:rFonts w:ascii="Times New Roman" w:eastAsia="Times New Roman" w:hAnsi="Times New Roman" w:cs="Times New Roman"/>
          <w:color w:val="000000"/>
          <w:sz w:val="24"/>
          <w:szCs w:val="24"/>
        </w:rPr>
      </w:pPr>
      <w:r w:rsidRPr="63DCED76">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r>
      <w:r w:rsidRPr="63DCED76">
        <w:rPr>
          <w:rFonts w:ascii="Times New Roman" w:eastAsia="Times New Roman" w:hAnsi="Times New Roman" w:cs="Times New Roman"/>
          <w:color w:val="000000"/>
          <w:sz w:val="24"/>
          <w:szCs w:val="24"/>
        </w:rPr>
        <w:t>The unbeliever, now a believer, calls on the name of the Lord.</w:t>
      </w:r>
    </w:p>
    <w:p w14:paraId="00000022" w14:textId="77777777" w:rsidR="00356CC7" w:rsidRDefault="008F3C1E" w:rsidP="63DCED76">
      <w:pPr>
        <w:pBdr>
          <w:top w:val="nil"/>
          <w:left w:val="nil"/>
          <w:bottom w:val="nil"/>
          <w:right w:val="nil"/>
          <w:between w:val="nil"/>
        </w:pBdr>
        <w:spacing w:after="160" w:line="240" w:lineRule="auto"/>
        <w:ind w:left="720" w:right="360" w:hanging="360"/>
        <w:jc w:val="both"/>
        <w:rPr>
          <w:rFonts w:ascii="Times New Roman" w:eastAsia="Times New Roman" w:hAnsi="Times New Roman" w:cs="Times New Roman"/>
          <w:color w:val="000000"/>
          <w:sz w:val="24"/>
          <w:szCs w:val="24"/>
        </w:rPr>
      </w:pPr>
      <w:r w:rsidRPr="63DCED76">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r>
      <w:r w:rsidRPr="63DCED76">
        <w:rPr>
          <w:rFonts w:ascii="Times New Roman" w:eastAsia="Times New Roman" w:hAnsi="Times New Roman" w:cs="Times New Roman"/>
          <w:color w:val="000000"/>
          <w:sz w:val="24"/>
          <w:szCs w:val="24"/>
        </w:rPr>
        <w:t>The believer is saved.</w:t>
      </w:r>
    </w:p>
    <w:p w14:paraId="00000023" w14:textId="057703C7" w:rsidR="00356CC7" w:rsidRDefault="008F3C1E" w:rsidP="6B65F250">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6B65F250">
        <w:rPr>
          <w:rFonts w:ascii="Times New Roman" w:eastAsia="Times New Roman" w:hAnsi="Times New Roman" w:cs="Times New Roman"/>
          <w:color w:val="000000"/>
          <w:sz w:val="24"/>
          <w:szCs w:val="24"/>
        </w:rPr>
        <w:lastRenderedPageBreak/>
        <w:t>This chain of elements can be summarized in the rhetorical question, “How can they call on the Lord without the sent one—the pioneer?” They cannot! The person and ministry of the pioneer is essential.</w:t>
      </w:r>
    </w:p>
    <w:p w14:paraId="00000024" w14:textId="5290DC0A" w:rsidR="00356CC7" w:rsidRDefault="53CE7795" w:rsidP="63DCED76">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sz w:val="24"/>
          <w:szCs w:val="24"/>
        </w:rPr>
      </w:pPr>
      <w:r w:rsidRPr="53CE7795">
        <w:rPr>
          <w:rFonts w:ascii="Times New Roman" w:eastAsia="Times New Roman" w:hAnsi="Times New Roman" w:cs="Times New Roman"/>
          <w:color w:val="000000" w:themeColor="text1"/>
          <w:sz w:val="24"/>
          <w:szCs w:val="24"/>
        </w:rPr>
        <w:t xml:space="preserve">The Apostle Paul, the ultimate model for all pioneers, describes the diligence of his own efforts, stating, “Like a skilled master builder I laid a foundation” (1 Cor. 3:10b). He refers explicitly to his skills; hence, skills do affect the outcome. “The fire will test what sort of work each one has done” (1 Cor. 3:13). A modern church planting team’s ministry will face a similar test. Accordingly, “what sort of work” a pioneer does directly </w:t>
      </w:r>
      <w:proofErr w:type="gramStart"/>
      <w:r w:rsidRPr="53CE7795">
        <w:rPr>
          <w:rFonts w:ascii="Times New Roman" w:eastAsia="Times New Roman" w:hAnsi="Times New Roman" w:cs="Times New Roman"/>
          <w:color w:val="000000" w:themeColor="text1"/>
          <w:sz w:val="24"/>
          <w:szCs w:val="24"/>
        </w:rPr>
        <w:t>affects</w:t>
      </w:r>
      <w:proofErr w:type="gramEnd"/>
      <w:r w:rsidRPr="53CE7795">
        <w:rPr>
          <w:rFonts w:ascii="Times New Roman" w:eastAsia="Times New Roman" w:hAnsi="Times New Roman" w:cs="Times New Roman"/>
          <w:color w:val="000000" w:themeColor="text1"/>
          <w:sz w:val="24"/>
          <w:szCs w:val="24"/>
        </w:rPr>
        <w:t xml:space="preserve"> whether or not that work will produce lasting fruit.</w:t>
      </w:r>
    </w:p>
    <w:p w14:paraId="00000025" w14:textId="282ED377" w:rsidR="00356CC7" w:rsidRDefault="53CE7795"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sz w:val="24"/>
          <w:szCs w:val="24"/>
        </w:rPr>
      </w:pPr>
      <w:r w:rsidRPr="53CE7795">
        <w:rPr>
          <w:rFonts w:ascii="Times New Roman" w:eastAsia="Times New Roman" w:hAnsi="Times New Roman" w:cs="Times New Roman"/>
          <w:color w:val="000000" w:themeColor="text1"/>
          <w:sz w:val="24"/>
          <w:szCs w:val="24"/>
        </w:rPr>
        <w:t xml:space="preserve">The Apostle Paul succinctly formulates the confluence of the divine and the human factors, and summarizes the theological foundation of this study, when referring to those who build God’s church as “God’s fellow workers” (1 Cor. 3:9). The Greek word used for fellow workers (sometimes translated “coworkers”) is </w:t>
      </w:r>
      <w:proofErr w:type="spellStart"/>
      <w:r w:rsidRPr="53CE7795">
        <w:rPr>
          <w:rFonts w:ascii="Times New Roman" w:eastAsia="Times New Roman" w:hAnsi="Times New Roman" w:cs="Times New Roman"/>
          <w:color w:val="000000" w:themeColor="text1"/>
          <w:sz w:val="24"/>
          <w:szCs w:val="24"/>
        </w:rPr>
        <w:t>συνεργοί</w:t>
      </w:r>
      <w:proofErr w:type="spellEnd"/>
      <w:r w:rsidRPr="53CE7795">
        <w:rPr>
          <w:rFonts w:ascii="Times New Roman" w:eastAsia="Times New Roman" w:hAnsi="Times New Roman" w:cs="Times New Roman"/>
          <w:color w:val="000000" w:themeColor="text1"/>
          <w:sz w:val="24"/>
          <w:szCs w:val="24"/>
        </w:rPr>
        <w:t xml:space="preserve">, the source of the English word “synergy.” This study’s research builds on David Garrison’s assertion that effectively catalyzing a </w:t>
      </w:r>
      <w:proofErr w:type="gramStart"/>
      <w:r w:rsidRPr="53CE7795">
        <w:rPr>
          <w:rFonts w:ascii="Times New Roman" w:eastAsia="Times New Roman" w:hAnsi="Times New Roman" w:cs="Times New Roman"/>
          <w:color w:val="000000" w:themeColor="text1"/>
          <w:sz w:val="24"/>
          <w:szCs w:val="24"/>
        </w:rPr>
        <w:t>movement results</w:t>
      </w:r>
      <w:proofErr w:type="gramEnd"/>
      <w:r w:rsidRPr="53CE7795">
        <w:rPr>
          <w:rFonts w:ascii="Times New Roman" w:eastAsia="Times New Roman" w:hAnsi="Times New Roman" w:cs="Times New Roman"/>
          <w:color w:val="000000" w:themeColor="text1"/>
          <w:sz w:val="24"/>
          <w:szCs w:val="24"/>
        </w:rPr>
        <w:t xml:space="preserve"> from the synergy of the human element with the divine, “a divine-human cooperative” (Garrison 2014, 255). Consequently, this research particularly focuses on the person of the pioneer.</w:t>
      </w:r>
    </w:p>
    <w:p w14:paraId="00000026" w14:textId="77777777" w:rsidR="00356CC7" w:rsidRDefault="63DCED76" w:rsidP="63DCED76">
      <w:pPr>
        <w:pStyle w:val="Heading1"/>
        <w:spacing w:before="0" w:after="160" w:line="240" w:lineRule="auto"/>
        <w:jc w:val="both"/>
        <w:rPr>
          <w:rFonts w:ascii="Times New Roman" w:eastAsia="Times New Roman" w:hAnsi="Times New Roman" w:cs="Times New Roman"/>
          <w:b/>
          <w:bCs/>
          <w:color w:val="000000"/>
          <w:sz w:val="24"/>
          <w:szCs w:val="24"/>
        </w:rPr>
      </w:pPr>
      <w:r w:rsidRPr="63DCED76">
        <w:rPr>
          <w:rFonts w:ascii="Times New Roman" w:eastAsia="Times New Roman" w:hAnsi="Times New Roman" w:cs="Times New Roman"/>
          <w:b/>
          <w:bCs/>
          <w:color w:val="000000" w:themeColor="text1"/>
          <w:sz w:val="24"/>
          <w:szCs w:val="24"/>
        </w:rPr>
        <w:t>Must a Movement Build on Lengthy Previous Gospel Proclamation?</w:t>
      </w:r>
    </w:p>
    <w:p w14:paraId="00000028" w14:textId="6CBCC81F" w:rsidR="00356CC7" w:rsidRDefault="53CE7795" w:rsidP="6B65F250">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53CE7795">
        <w:rPr>
          <w:rFonts w:ascii="Times New Roman" w:eastAsia="Times New Roman" w:hAnsi="Times New Roman" w:cs="Times New Roman"/>
          <w:color w:val="000000" w:themeColor="text1"/>
          <w:sz w:val="24"/>
          <w:szCs w:val="24"/>
        </w:rPr>
        <w:t xml:space="preserve">Many have thought that movements can only be catalyzed among people groups who have had many years of previous Christian work sharing the gospel (Livingstone 1993, 18). Some would express this assumption more moderately: movements seem highly unlikely to occur in pioneer situations. The biblical principle referenced is, “whoever sows sparingly will also reap sparingly, and whoever sows bountifully will also reap bountifully” (2 Cor. 9:6). The oft-cited prime examples are the movement among the Kabyle-Berber in Algeria and the mid-to-late 1960’s mass movement to Christ in Indonesia. The movement among the Kabyle-Berber occurred in the 1970s after several generations of Christian witness with hardly any response at all, starting with the pioneer Charles Marsh nearly 50 years earlier in 1925 (Marsh 1970; Marsh and </w:t>
      </w:r>
      <w:proofErr w:type="spellStart"/>
      <w:r w:rsidRPr="53CE7795">
        <w:rPr>
          <w:rFonts w:ascii="Times New Roman" w:eastAsia="Times New Roman" w:hAnsi="Times New Roman" w:cs="Times New Roman"/>
          <w:color w:val="000000" w:themeColor="text1"/>
          <w:sz w:val="24"/>
          <w:szCs w:val="24"/>
        </w:rPr>
        <w:t>Verwer</w:t>
      </w:r>
      <w:proofErr w:type="spellEnd"/>
      <w:r w:rsidRPr="53CE7795">
        <w:rPr>
          <w:rFonts w:ascii="Times New Roman" w:eastAsia="Times New Roman" w:hAnsi="Times New Roman" w:cs="Times New Roman"/>
          <w:color w:val="000000" w:themeColor="text1"/>
          <w:sz w:val="24"/>
          <w:szCs w:val="24"/>
        </w:rPr>
        <w:t xml:space="preserve"> 1997). In Indonesia between 1965 and 1971 two million Muslims turned to Christ (Willis 1977), but only after more than three centuries of Christian missionary work in the country.</w:t>
      </w:r>
    </w:p>
    <w:p w14:paraId="0000002A" w14:textId="7DDB9473" w:rsidR="00356CC7" w:rsidRDefault="53CE7795"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sz w:val="24"/>
          <w:szCs w:val="24"/>
        </w:rPr>
      </w:pPr>
      <w:r w:rsidRPr="53CE7795">
        <w:rPr>
          <w:rFonts w:ascii="Times New Roman" w:eastAsia="Times New Roman" w:hAnsi="Times New Roman" w:cs="Times New Roman"/>
          <w:color w:val="000000" w:themeColor="text1"/>
          <w:sz w:val="24"/>
          <w:szCs w:val="24"/>
        </w:rPr>
        <w:t>The data informing this study indicate that this notion should be reconsidered. Movement breakthrough does not necessarily require a long period of sowing. At the time of their participation in this study, the pioneer leaders and their teams had been ministering between two and 24 years since taking up residence among the people groups in which they were serving. One participant had an itinerant non-residential ministry approach, in which he did not live among his people group. Of those participants living among their focus people groups, the average length of ministry was 8.4 years.</w:t>
      </w:r>
    </w:p>
    <w:p w14:paraId="0000002B" w14:textId="5675A9E9" w:rsidR="00356CC7" w:rsidRDefault="008F3C1E"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sz w:val="24"/>
          <w:szCs w:val="24"/>
        </w:rPr>
      </w:pPr>
      <w:r w:rsidRPr="6B65F250">
        <w:rPr>
          <w:rFonts w:ascii="Times New Roman" w:eastAsia="Times New Roman" w:hAnsi="Times New Roman" w:cs="Times New Roman"/>
          <w:color w:val="000000"/>
          <w:sz w:val="24"/>
          <w:szCs w:val="24"/>
        </w:rPr>
        <w:t xml:space="preserve">The length of ministry among the people group before the first fellowship of Jesus followers started a daughter fellowship ranges from three months to 15 years. The birthing of the first second-generation fellowship is considered the tipping point, where reproduction begins happening and a movement is catalyzed. Six church planting movements took between only three and six months of ministry for that to occur. Sixteen movements took between one and three years to be catalyzed. Four movements took between four and eight years. In only two movements did that process take place between 11 and 15 years. Three survey participants were not able to </w:t>
      </w:r>
      <w:proofErr w:type="gramStart"/>
      <w:r w:rsidRPr="6B65F250">
        <w:rPr>
          <w:rFonts w:ascii="Times New Roman" w:eastAsia="Times New Roman" w:hAnsi="Times New Roman" w:cs="Times New Roman"/>
          <w:color w:val="000000"/>
          <w:sz w:val="24"/>
          <w:szCs w:val="24"/>
        </w:rPr>
        <w:t xml:space="preserve">answer </w:t>
      </w:r>
      <w:r w:rsidR="63DCED76" w:rsidRPr="6B65F250">
        <w:rPr>
          <w:rFonts w:ascii="Times New Roman" w:eastAsia="Times New Roman" w:hAnsi="Times New Roman" w:cs="Times New Roman"/>
          <w:color w:val="000000" w:themeColor="text1"/>
          <w:sz w:val="24"/>
          <w:szCs w:val="24"/>
        </w:rPr>
        <w:t>precisely</w:t>
      </w:r>
      <w:proofErr w:type="gramEnd"/>
      <w:r w:rsidRPr="6B65F250">
        <w:rPr>
          <w:rFonts w:ascii="Times New Roman" w:eastAsia="Times New Roman" w:hAnsi="Times New Roman" w:cs="Times New Roman"/>
          <w:color w:val="000000"/>
          <w:sz w:val="24"/>
          <w:szCs w:val="24"/>
        </w:rPr>
        <w:t xml:space="preserve"> the question about when the movement was catalyzed</w:t>
      </w:r>
      <w:r w:rsidR="63DCED76" w:rsidRPr="6B65F250">
        <w:rPr>
          <w:rFonts w:ascii="Times New Roman" w:eastAsia="Times New Roman" w:hAnsi="Times New Roman" w:cs="Times New Roman"/>
          <w:color w:val="000000" w:themeColor="text1"/>
          <w:sz w:val="24"/>
          <w:szCs w:val="24"/>
        </w:rPr>
        <w:t xml:space="preserve">. The average time between the pioneer leader </w:t>
      </w:r>
      <w:r w:rsidR="63DCED76" w:rsidRPr="6B65F250">
        <w:rPr>
          <w:rFonts w:ascii="Times New Roman" w:eastAsia="Times New Roman" w:hAnsi="Times New Roman" w:cs="Times New Roman"/>
          <w:color w:val="000000" w:themeColor="text1"/>
          <w:sz w:val="24"/>
          <w:szCs w:val="24"/>
        </w:rPr>
        <w:lastRenderedPageBreak/>
        <w:t>arriving on the ground and the birthing of the first second-generation fellowship was only two years and seven months.</w:t>
      </w:r>
    </w:p>
    <w:p w14:paraId="0000002C" w14:textId="20BDB4C4" w:rsidR="00356CC7" w:rsidRDefault="008F3C1E" w:rsidP="63DCED76">
      <w:pPr>
        <w:pBdr>
          <w:top w:val="nil"/>
          <w:left w:val="nil"/>
          <w:bottom w:val="nil"/>
          <w:right w:val="nil"/>
          <w:between w:val="nil"/>
        </w:pBdr>
        <w:spacing w:after="180" w:line="240" w:lineRule="auto"/>
        <w:jc w:val="center"/>
        <w:rPr>
          <w:rFonts w:ascii="Times New Roman" w:eastAsia="Times New Roman" w:hAnsi="Times New Roman" w:cs="Times New Roman"/>
          <w:color w:val="000000"/>
          <w:sz w:val="24"/>
          <w:szCs w:val="24"/>
        </w:rPr>
      </w:pPr>
      <w:r>
        <w:rPr>
          <w:noProof/>
        </w:rPr>
        <w:drawing>
          <wp:inline distT="0" distB="0" distL="0" distR="0" wp14:anchorId="10F277AD" wp14:editId="6A432C43">
            <wp:extent cx="4389120" cy="2194560"/>
            <wp:effectExtent l="0" t="0" r="0" b="0"/>
            <wp:docPr id="1"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rcRect/>
                    <a:stretch>
                      <a:fillRect/>
                    </a:stretch>
                  </pic:blipFill>
                  <pic:spPr>
                    <a:xfrm>
                      <a:off x="0" y="0"/>
                      <a:ext cx="4389120" cy="2194560"/>
                    </a:xfrm>
                    <a:prstGeom prst="rect">
                      <a:avLst/>
                    </a:prstGeom>
                    <a:ln/>
                  </pic:spPr>
                </pic:pic>
              </a:graphicData>
            </a:graphic>
          </wp:inline>
        </w:drawing>
      </w:r>
    </w:p>
    <w:p w14:paraId="44D7D648" w14:textId="0D0DA5A8" w:rsidR="63DCED76" w:rsidRDefault="63DCED76" w:rsidP="63DCED76">
      <w:pPr>
        <w:spacing w:after="160" w:line="240" w:lineRule="auto"/>
        <w:jc w:val="center"/>
        <w:rPr>
          <w:rFonts w:ascii="Times New Roman" w:eastAsia="Times New Roman" w:hAnsi="Times New Roman" w:cs="Times New Roman"/>
          <w:color w:val="000000" w:themeColor="text1"/>
          <w:sz w:val="24"/>
          <w:szCs w:val="24"/>
        </w:rPr>
      </w:pPr>
      <w:r w:rsidRPr="63DCED76">
        <w:rPr>
          <w:rFonts w:ascii="Times New Roman" w:eastAsia="Times New Roman" w:hAnsi="Times New Roman" w:cs="Times New Roman"/>
          <w:color w:val="000000" w:themeColor="text1"/>
          <w:sz w:val="20"/>
          <w:szCs w:val="20"/>
        </w:rPr>
        <w:t>Figure 1: Time of Pioneer’s Ministry Prior to Movement Breakthrough</w:t>
      </w:r>
    </w:p>
    <w:p w14:paraId="0000002E" w14:textId="6AFF764C" w:rsidR="00356CC7" w:rsidRDefault="008F3C1E"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sz w:val="24"/>
          <w:szCs w:val="24"/>
        </w:rPr>
      </w:pPr>
      <w:r w:rsidRPr="6B65F250">
        <w:rPr>
          <w:rFonts w:ascii="Times New Roman" w:eastAsia="Times New Roman" w:hAnsi="Times New Roman" w:cs="Times New Roman"/>
          <w:color w:val="000000"/>
          <w:sz w:val="24"/>
          <w:szCs w:val="24"/>
        </w:rPr>
        <w:t>A related consideration is the number of years of any known gospel proclamation prior to the ministry of the pioneer leader and his or her team. This period ranged from zero to 100 years. Five participants answered zero: there had been no gospel proclamation at all prior to their arrival among the people group. For one movement it had been one year. For two movements it was four to eight years. The largest portion of participants, representing ten movements, answered between ten and “20+” years. Four movements had been preceded by 40 to 50 years of gospel proclamation, and in one movement it had been 100 years. Eight participants could not answer the question precisely, one describing it simply as “many” years. The median among those who answered the question was 15 years.</w:t>
      </w:r>
    </w:p>
    <w:p w14:paraId="2F8CB186" w14:textId="566DC98A" w:rsidR="00356CC7" w:rsidRDefault="008F3C1E" w:rsidP="63DCED76">
      <w:pPr>
        <w:pBdr>
          <w:top w:val="nil"/>
          <w:left w:val="nil"/>
          <w:bottom w:val="nil"/>
          <w:right w:val="nil"/>
          <w:between w:val="nil"/>
        </w:pBdr>
        <w:spacing w:after="160" w:line="240" w:lineRule="auto"/>
        <w:jc w:val="center"/>
      </w:pPr>
      <w:r>
        <w:rPr>
          <w:noProof/>
        </w:rPr>
        <w:drawing>
          <wp:inline distT="0" distB="0" distL="0" distR="0" wp14:anchorId="0A43807F" wp14:editId="29DC3CB8">
            <wp:extent cx="4543425" cy="2324100"/>
            <wp:effectExtent l="0" t="0" r="0" b="0"/>
            <wp:docPr id="786561857" name="Picture 78656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43425" cy="2324100"/>
                    </a:xfrm>
                    <a:prstGeom prst="rect">
                      <a:avLst/>
                    </a:prstGeom>
                  </pic:spPr>
                </pic:pic>
              </a:graphicData>
            </a:graphic>
          </wp:inline>
        </w:drawing>
      </w:r>
    </w:p>
    <w:p w14:paraId="00000030" w14:textId="78B7F30D" w:rsidR="00356CC7" w:rsidRDefault="6B65F250" w:rsidP="6B65F250">
      <w:pPr>
        <w:pBdr>
          <w:top w:val="nil"/>
          <w:left w:val="nil"/>
          <w:bottom w:val="nil"/>
          <w:right w:val="nil"/>
          <w:between w:val="nil"/>
        </w:pBdr>
        <w:spacing w:after="160" w:line="240" w:lineRule="auto"/>
        <w:jc w:val="center"/>
        <w:rPr>
          <w:rFonts w:ascii="Times New Roman" w:eastAsia="Times New Roman" w:hAnsi="Times New Roman" w:cs="Times New Roman"/>
          <w:color w:val="000000"/>
          <w:sz w:val="24"/>
          <w:szCs w:val="24"/>
        </w:rPr>
      </w:pPr>
      <w:r w:rsidRPr="6B65F250">
        <w:rPr>
          <w:rFonts w:ascii="Times New Roman" w:eastAsia="Times New Roman" w:hAnsi="Times New Roman" w:cs="Times New Roman"/>
          <w:color w:val="000000" w:themeColor="text1"/>
          <w:sz w:val="20"/>
          <w:szCs w:val="20"/>
        </w:rPr>
        <w:t>Figure 2: Year of Witness Prior to Arrival of Pioneer</w:t>
      </w:r>
    </w:p>
    <w:p w14:paraId="00000032" w14:textId="7B248127" w:rsidR="00356CC7" w:rsidRDefault="72B69E13"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sz w:val="24"/>
          <w:szCs w:val="24"/>
        </w:rPr>
      </w:pPr>
      <w:r w:rsidRPr="72B69E13">
        <w:rPr>
          <w:rFonts w:ascii="Times New Roman" w:eastAsia="Times New Roman" w:hAnsi="Times New Roman" w:cs="Times New Roman"/>
          <w:color w:val="000000" w:themeColor="text1"/>
          <w:sz w:val="24"/>
          <w:szCs w:val="24"/>
        </w:rPr>
        <w:t xml:space="preserve">This data </w:t>
      </w:r>
      <w:proofErr w:type="gramStart"/>
      <w:r w:rsidRPr="72B69E13">
        <w:rPr>
          <w:rFonts w:ascii="Times New Roman" w:eastAsia="Times New Roman" w:hAnsi="Times New Roman" w:cs="Times New Roman"/>
          <w:color w:val="000000" w:themeColor="text1"/>
          <w:sz w:val="24"/>
          <w:szCs w:val="24"/>
        </w:rPr>
        <w:t>are</w:t>
      </w:r>
      <w:proofErr w:type="gramEnd"/>
      <w:r w:rsidRPr="72B69E13">
        <w:rPr>
          <w:rFonts w:ascii="Times New Roman" w:eastAsia="Times New Roman" w:hAnsi="Times New Roman" w:cs="Times New Roman"/>
          <w:color w:val="000000" w:themeColor="text1"/>
          <w:sz w:val="24"/>
          <w:szCs w:val="24"/>
        </w:rPr>
        <w:t xml:space="preserve"> surprising in light of commonly held assumptions. It has been widely held that movements can only be catalyzed among people groups where there have been many years of previous Christian work sharing the gospel. The above figures of this study indicate that such a notion needs to be reconsidered. Some movements had been preceded by up to 100 years of gospel </w:t>
      </w:r>
      <w:r w:rsidRPr="72B69E13">
        <w:rPr>
          <w:rFonts w:ascii="Times New Roman" w:eastAsia="Times New Roman" w:hAnsi="Times New Roman" w:cs="Times New Roman"/>
          <w:color w:val="000000" w:themeColor="text1"/>
          <w:sz w:val="24"/>
          <w:szCs w:val="24"/>
        </w:rPr>
        <w:lastRenderedPageBreak/>
        <w:t>sowing, but others by only a few years</w:t>
      </w:r>
      <w:r w:rsidRPr="72B69E13">
        <w:rPr>
          <w:rFonts w:ascii="Times New Roman" w:eastAsia="Times New Roman" w:hAnsi="Times New Roman" w:cs="Times New Roman"/>
          <w:color w:val="202124"/>
          <w:sz w:val="24"/>
          <w:szCs w:val="24"/>
        </w:rPr>
        <w:t xml:space="preserve">—and </w:t>
      </w:r>
      <w:r w:rsidRPr="72B69E13">
        <w:rPr>
          <w:rFonts w:ascii="Times New Roman" w:eastAsia="Times New Roman" w:hAnsi="Times New Roman" w:cs="Times New Roman"/>
          <w:color w:val="000000" w:themeColor="text1"/>
          <w:sz w:val="24"/>
          <w:szCs w:val="24"/>
        </w:rPr>
        <w:t>others had had no previous sowing at all! These numerous examples show that only a small proportion of the movements among Muslims have built on a significant history of Christian work. Many of the movements have occurred without building on any foundation of previous work. They have been catalyzed by the very first pioneer among the people group.</w:t>
      </w:r>
    </w:p>
    <w:p w14:paraId="1B057BC6" w14:textId="220E7196" w:rsidR="00356CC7" w:rsidRDefault="008F3C1E"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themeColor="text1"/>
          <w:sz w:val="24"/>
          <w:szCs w:val="24"/>
        </w:rPr>
      </w:pPr>
      <w:r w:rsidRPr="6B65F250">
        <w:rPr>
          <w:rFonts w:ascii="Times New Roman" w:eastAsia="Times New Roman" w:hAnsi="Times New Roman" w:cs="Times New Roman"/>
          <w:color w:val="000000"/>
          <w:sz w:val="24"/>
          <w:szCs w:val="24"/>
        </w:rPr>
        <w:t xml:space="preserve">This finding is new in the sense of being a first-time verification by specific data. However, the hypothesis had already been formulated in 2008 by an expert panel of church-planting movement (CPM) trainers from multiple regions globally. They concluded: </w:t>
      </w:r>
      <w:r w:rsidRPr="6B65F250">
        <w:rPr>
          <w:rFonts w:ascii="Times New Roman" w:eastAsia="Times New Roman" w:hAnsi="Times New Roman" w:cs="Times New Roman"/>
          <w:sz w:val="24"/>
          <w:szCs w:val="24"/>
        </w:rPr>
        <w:t xml:space="preserve">“there seemed to be no difference in the … CPMs in terms of how long there </w:t>
      </w:r>
      <w:proofErr w:type="gramStart"/>
      <w:r w:rsidRPr="6B65F250">
        <w:rPr>
          <w:rFonts w:ascii="Times New Roman" w:eastAsia="Times New Roman" w:hAnsi="Times New Roman" w:cs="Times New Roman"/>
          <w:sz w:val="24"/>
          <w:szCs w:val="24"/>
        </w:rPr>
        <w:t>had been gospel exposure in the area previously</w:t>
      </w:r>
      <w:proofErr w:type="gramEnd"/>
      <w:r w:rsidRPr="6B65F250">
        <w:rPr>
          <w:rFonts w:ascii="Times New Roman" w:eastAsia="Times New Roman" w:hAnsi="Times New Roman" w:cs="Times New Roman"/>
          <w:sz w:val="24"/>
          <w:szCs w:val="24"/>
        </w:rPr>
        <w:t>. For example, in both large and small CPMs, there were examples of longer and shorter histories of Christian work” (Stevens 2008, 3).</w:t>
      </w:r>
    </w:p>
    <w:p w14:paraId="00000035" w14:textId="57C96244" w:rsidR="00356CC7" w:rsidRDefault="008F3C1E"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sz w:val="24"/>
          <w:szCs w:val="24"/>
        </w:rPr>
      </w:pPr>
      <w:r w:rsidRPr="6B65F250">
        <w:rPr>
          <w:rFonts w:ascii="Times New Roman" w:eastAsia="Times New Roman" w:hAnsi="Times New Roman" w:cs="Times New Roman"/>
          <w:color w:val="000000"/>
          <w:sz w:val="24"/>
          <w:szCs w:val="24"/>
        </w:rPr>
        <w:t>The data of this present study substantiate the earlier observations of those CPM trainers. Prior gospel witness seems to play little or no role in the likelihood of a movement being launched among a Muslim people group. This data-based conclusion debunks the heretofore common assumption that lengthy prior gospel proclamation must precede a movement being catalyzed.</w:t>
      </w:r>
    </w:p>
    <w:p w14:paraId="00000036" w14:textId="77777777" w:rsidR="00356CC7" w:rsidRDefault="63DCED76" w:rsidP="63DCED76">
      <w:pPr>
        <w:pStyle w:val="Heading1"/>
        <w:spacing w:before="0" w:after="160" w:line="240" w:lineRule="auto"/>
        <w:jc w:val="both"/>
        <w:rPr>
          <w:rFonts w:ascii="Times New Roman" w:eastAsia="Times New Roman" w:hAnsi="Times New Roman" w:cs="Times New Roman"/>
          <w:b/>
          <w:bCs/>
          <w:color w:val="000000"/>
          <w:sz w:val="24"/>
          <w:szCs w:val="24"/>
        </w:rPr>
      </w:pPr>
      <w:bookmarkStart w:id="3" w:name="_tyjcwt"/>
      <w:bookmarkEnd w:id="3"/>
      <w:r w:rsidRPr="63DCED76">
        <w:rPr>
          <w:rFonts w:ascii="Times New Roman" w:eastAsia="Times New Roman" w:hAnsi="Times New Roman" w:cs="Times New Roman"/>
          <w:b/>
          <w:bCs/>
          <w:color w:val="000000" w:themeColor="text1"/>
          <w:sz w:val="24"/>
          <w:szCs w:val="24"/>
        </w:rPr>
        <w:t>Do Movements Occur Only among Receptive People Groups?</w:t>
      </w:r>
    </w:p>
    <w:p w14:paraId="00000037" w14:textId="652E95A5" w:rsidR="00356CC7" w:rsidRDefault="53CE7795" w:rsidP="6B65F250">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53CE7795">
        <w:rPr>
          <w:rFonts w:ascii="Times New Roman" w:eastAsia="Times New Roman" w:hAnsi="Times New Roman" w:cs="Times New Roman"/>
          <w:color w:val="000000" w:themeColor="text1"/>
          <w:sz w:val="24"/>
          <w:szCs w:val="24"/>
        </w:rPr>
        <w:t>Concerning the second assumption, the supporting research data suggest no association between a people group’s gospel receptivity and the effective catalyzing of a movement among them. Movements are apparently unrelated to the overall receptivity of the people group.</w:t>
      </w:r>
    </w:p>
    <w:p w14:paraId="726049D8" w14:textId="5110068E" w:rsidR="00356CC7" w:rsidRDefault="53CE7795"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themeColor="text1"/>
          <w:sz w:val="24"/>
          <w:szCs w:val="24"/>
        </w:rPr>
      </w:pPr>
      <w:r w:rsidRPr="53CE7795">
        <w:rPr>
          <w:rFonts w:ascii="Times New Roman" w:eastAsia="Times New Roman" w:hAnsi="Times New Roman" w:cs="Times New Roman"/>
          <w:color w:val="000000" w:themeColor="text1"/>
          <w:sz w:val="24"/>
          <w:szCs w:val="24"/>
        </w:rPr>
        <w:t xml:space="preserve">The receptivity of this research’s people groups toward the good news varied significantly at the time when the pioneer leaders first took residence among them. Participants used the </w:t>
      </w:r>
      <w:r w:rsidRPr="53CE7795">
        <w:rPr>
          <w:rFonts w:ascii="Times New Roman" w:eastAsia="Times New Roman" w:hAnsi="Times New Roman" w:cs="Times New Roman"/>
          <w:i/>
          <w:iCs/>
          <w:color w:val="000000" w:themeColor="text1"/>
          <w:sz w:val="24"/>
          <w:szCs w:val="24"/>
        </w:rPr>
        <w:t>Dayton Scale</w:t>
      </w:r>
      <w:r w:rsidRPr="53CE7795">
        <w:rPr>
          <w:rFonts w:ascii="Times New Roman" w:eastAsia="Times New Roman" w:hAnsi="Times New Roman" w:cs="Times New Roman"/>
          <w:color w:val="000000" w:themeColor="text1"/>
          <w:sz w:val="24"/>
          <w:szCs w:val="24"/>
        </w:rPr>
        <w:t xml:space="preserve"> (Dayton and Fraser 2003), which ranges from -5 (strongly opposed) to +5 (strongly favorable) to measure the receptivity of societies and people groups toward the gospel. Among the people groups surveyed in this study, seven were assessed to have been strongly opposed (-5 and -4) to the gospel at the time when the pioneer leader first took up residence among the group. In 11 people groups, receptivity was assessed as somewhat opposed (-3 and -2). Two people groups were described as indifferent to the gospel (rated -1 to +1), while five were assessed as somewhat favorable to the gospel (+2 and +3). Only five out of 35 people groups were considered strongly favorable to the gospel when the pioneer leaders began their work among them. The following chart shows the nearly even distribution.</w:t>
      </w:r>
    </w:p>
    <w:p w14:paraId="29E20E04" w14:textId="5BBFE8D8" w:rsidR="00356CC7" w:rsidRDefault="008F3C1E" w:rsidP="63DCED76">
      <w:pPr>
        <w:pBdr>
          <w:top w:val="nil"/>
          <w:left w:val="nil"/>
          <w:bottom w:val="nil"/>
          <w:right w:val="nil"/>
          <w:between w:val="nil"/>
        </w:pBdr>
        <w:spacing w:after="160" w:line="240" w:lineRule="auto"/>
        <w:jc w:val="center"/>
      </w:pPr>
      <w:r>
        <w:rPr>
          <w:noProof/>
        </w:rPr>
        <w:lastRenderedPageBreak/>
        <w:drawing>
          <wp:inline distT="0" distB="0" distL="0" distR="0" wp14:anchorId="509DD9AF" wp14:editId="6983789C">
            <wp:extent cx="5229225" cy="2847975"/>
            <wp:effectExtent l="0" t="0" r="0" b="0"/>
            <wp:docPr id="1055345845" name="Picture 1055345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229225" cy="2847975"/>
                    </a:xfrm>
                    <a:prstGeom prst="rect">
                      <a:avLst/>
                    </a:prstGeom>
                  </pic:spPr>
                </pic:pic>
              </a:graphicData>
            </a:graphic>
          </wp:inline>
        </w:drawing>
      </w:r>
    </w:p>
    <w:p w14:paraId="0000003B" w14:textId="60683DE3" w:rsidR="00356CC7" w:rsidRDefault="63DCED76" w:rsidP="6B65F250">
      <w:p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r w:rsidRPr="6B65F250">
        <w:rPr>
          <w:rFonts w:ascii="Times New Roman" w:eastAsia="Times New Roman" w:hAnsi="Times New Roman" w:cs="Times New Roman"/>
          <w:color w:val="000000" w:themeColor="text1"/>
          <w:sz w:val="20"/>
          <w:szCs w:val="20"/>
        </w:rPr>
        <w:t>Figure 3: Receptivity of People Groups Toward the Gospel</w:t>
      </w:r>
    </w:p>
    <w:p w14:paraId="0000003D" w14:textId="6700CDD1" w:rsidR="00356CC7" w:rsidRDefault="72B69E13" w:rsidP="63DCED76">
      <w:pPr>
        <w:keepNext/>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72B69E13">
        <w:rPr>
          <w:rFonts w:ascii="Times New Roman" w:eastAsia="Times New Roman" w:hAnsi="Times New Roman" w:cs="Times New Roman"/>
          <w:color w:val="000000" w:themeColor="text1"/>
          <w:sz w:val="24"/>
          <w:szCs w:val="24"/>
        </w:rPr>
        <w:t>The data show no correlation between gospel receptivity of a people group and the effective catalyzing of a movement among them. Movements seem unrelated to the overall receptivity of the people group. How can we explain this counter-intuitive reality?</w:t>
      </w:r>
    </w:p>
    <w:p w14:paraId="0000003E" w14:textId="11EE1CBB" w:rsidR="00356CC7" w:rsidRDefault="008F3C1E"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sz w:val="24"/>
          <w:szCs w:val="24"/>
        </w:rPr>
      </w:pPr>
      <w:r w:rsidRPr="6B65F250">
        <w:rPr>
          <w:rFonts w:ascii="Times New Roman" w:eastAsia="Times New Roman" w:hAnsi="Times New Roman" w:cs="Times New Roman"/>
          <w:color w:val="000000"/>
          <w:sz w:val="24"/>
          <w:szCs w:val="24"/>
        </w:rPr>
        <w:t xml:space="preserve">Perhaps receptive pockets exist within most or all societies, including those having a low level of overall receptivity. Steve Smith’s research into church planting movements affirms this conclusion: “There may be hardened people groups, but in </w:t>
      </w:r>
      <w:proofErr w:type="gramStart"/>
      <w:r w:rsidRPr="6B65F250">
        <w:rPr>
          <w:rFonts w:ascii="Times New Roman" w:eastAsia="Times New Roman" w:hAnsi="Times New Roman" w:cs="Times New Roman"/>
          <w:color w:val="000000"/>
          <w:sz w:val="24"/>
          <w:szCs w:val="24"/>
        </w:rPr>
        <w:t>every one</w:t>
      </w:r>
      <w:proofErr w:type="gramEnd"/>
      <w:r w:rsidRPr="6B65F250">
        <w:rPr>
          <w:rFonts w:ascii="Times New Roman" w:eastAsia="Times New Roman" w:hAnsi="Times New Roman" w:cs="Times New Roman"/>
          <w:color w:val="000000"/>
          <w:sz w:val="24"/>
          <w:szCs w:val="24"/>
        </w:rPr>
        <w:t xml:space="preserve"> there are harvestable individuals” (Smith 2011, 83). Trousdale’s research comes to a similar conclusion, pressing further to note that often “the hardest people yield the greatest results” (Trousdale 2012, 155). This observation in many movements does not refer to gospel receptivity among entire people groups but to individuals and subgroups in society. The key open individuals are often referred to as “persons of peace,” based on Jesus’ instructions in Matthew 10 and Luke 10 (Trousdale 2012, 190; Watson and Watson 2014, 123-139). Trousdale also observes the principle that “sometimes the most difficult person to reach with the gospel will become the most dedicated follower of Christ” (Trousdale 2012, 161).</w:t>
      </w:r>
    </w:p>
    <w:p w14:paraId="0000003F" w14:textId="77777777" w:rsidR="00356CC7" w:rsidRDefault="63DCED76" w:rsidP="63DCED76">
      <w:pPr>
        <w:pStyle w:val="Heading1"/>
        <w:spacing w:before="0" w:after="160" w:line="240" w:lineRule="auto"/>
        <w:jc w:val="both"/>
        <w:rPr>
          <w:rFonts w:ascii="Times New Roman" w:eastAsia="Times New Roman" w:hAnsi="Times New Roman" w:cs="Times New Roman"/>
          <w:b/>
          <w:bCs/>
          <w:color w:val="000000"/>
          <w:sz w:val="24"/>
          <w:szCs w:val="24"/>
        </w:rPr>
      </w:pPr>
      <w:r w:rsidRPr="63DCED76">
        <w:rPr>
          <w:rFonts w:ascii="Times New Roman" w:eastAsia="Times New Roman" w:hAnsi="Times New Roman" w:cs="Times New Roman"/>
          <w:b/>
          <w:bCs/>
          <w:color w:val="000000" w:themeColor="text1"/>
          <w:sz w:val="24"/>
          <w:szCs w:val="24"/>
        </w:rPr>
        <w:t>Conclusion</w:t>
      </w:r>
    </w:p>
    <w:p w14:paraId="00000040" w14:textId="3C12C2EC" w:rsidR="00356CC7" w:rsidRDefault="008F3C1E" w:rsidP="63DCED76">
      <w:pPr>
        <w:pBdr>
          <w:top w:val="nil"/>
          <w:left w:val="nil"/>
          <w:bottom w:val="nil"/>
          <w:right w:val="nil"/>
          <w:between w:val="nil"/>
        </w:pBdr>
        <w:spacing w:after="160" w:line="240" w:lineRule="auto"/>
        <w:jc w:val="both"/>
        <w:rPr>
          <w:rFonts w:ascii="Times New Roman" w:eastAsia="Times New Roman" w:hAnsi="Times New Roman" w:cs="Times New Roman"/>
          <w:color w:val="000000"/>
          <w:sz w:val="24"/>
          <w:szCs w:val="24"/>
        </w:rPr>
      </w:pPr>
      <w:r w:rsidRPr="63DCED76">
        <w:rPr>
          <w:rFonts w:ascii="Times New Roman" w:eastAsia="Times New Roman" w:hAnsi="Times New Roman" w:cs="Times New Roman"/>
          <w:color w:val="000000"/>
          <w:sz w:val="24"/>
          <w:szCs w:val="24"/>
        </w:rPr>
        <w:t>Any movement results from three factors: the sovereignty of God (which eludes human analysis and understanding), the receptivity of those who hear the gospel, and the pioneer who is responsible to share the gospel wisely. As the Apostle Paul experienced in the city of Corinth, some situations may manifest significant opposition to the gospel (Acts 18:6), yet the perspective of God’s eternal election reveals “many in this city who are my [God’s] people” (Acts 18:10).</w:t>
      </w:r>
    </w:p>
    <w:p w14:paraId="00000041" w14:textId="1C6AF1EA" w:rsidR="00356CC7" w:rsidRDefault="50740BA8" w:rsidP="63DCED76">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sz w:val="24"/>
          <w:szCs w:val="24"/>
        </w:rPr>
      </w:pPr>
      <w:r w:rsidRPr="50740BA8">
        <w:rPr>
          <w:rFonts w:ascii="Times New Roman" w:eastAsia="Times New Roman" w:hAnsi="Times New Roman" w:cs="Times New Roman"/>
          <w:color w:val="000000" w:themeColor="text1"/>
          <w:sz w:val="24"/>
          <w:szCs w:val="24"/>
        </w:rPr>
        <w:t>The data of the research demonstrate that movements may happen irrespective of the receptivity of the overall population. This underscores the role of the pioneer, adding weight to the part he or she plays in catalyzing a movement. The data suggest a tentative hypothesis that certain pioneer leaders can become effective in catalyzing a movement, irrespective of the receptivity of the overall population in that community.</w:t>
      </w:r>
    </w:p>
    <w:p w14:paraId="00000042" w14:textId="4F8AFE4C" w:rsidR="00356CC7" w:rsidRDefault="53CE7795"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color w:val="000000"/>
          <w:sz w:val="24"/>
          <w:szCs w:val="24"/>
        </w:rPr>
      </w:pPr>
      <w:r w:rsidRPr="53CE7795">
        <w:rPr>
          <w:rFonts w:ascii="Times New Roman" w:eastAsia="Times New Roman" w:hAnsi="Times New Roman" w:cs="Times New Roman"/>
          <w:color w:val="000000" w:themeColor="text1"/>
          <w:sz w:val="24"/>
          <w:szCs w:val="24"/>
        </w:rPr>
        <w:lastRenderedPageBreak/>
        <w:t>Since the divine element eludes human investigation, our understanding of the factors that contribute to movements leans even more heavily on the person of the catalyst. This focus confirms Greg Livingstone’s premise: “The human factor will be the variable between effective and ineffective church planting efforts” (Livingstone 1993, 26). Through demonstrating that neither length of prior gospel proclamation nor gospel receptivity are normative factors, this study points to pioneering movement catalysts as a key factor in catalyzing movements. This study and corresponding research (Prinz 2021) verify this conviction, showing a strong association between a catalyst who exhibits certain traits and competencies and the effective catalyzing of movements.</w:t>
      </w:r>
    </w:p>
    <w:p w14:paraId="00000043" w14:textId="6C54FED7" w:rsidR="00356CC7" w:rsidRDefault="6B65F250" w:rsidP="6B65F250">
      <w:pPr>
        <w:pBdr>
          <w:top w:val="nil"/>
          <w:left w:val="nil"/>
          <w:bottom w:val="nil"/>
          <w:right w:val="nil"/>
          <w:between w:val="nil"/>
        </w:pBdr>
        <w:spacing w:after="160" w:line="240" w:lineRule="auto"/>
        <w:ind w:firstLine="360"/>
        <w:jc w:val="both"/>
        <w:rPr>
          <w:rFonts w:ascii="Times New Roman" w:eastAsia="Times New Roman" w:hAnsi="Times New Roman" w:cs="Times New Roman"/>
          <w:sz w:val="24"/>
          <w:szCs w:val="24"/>
        </w:rPr>
      </w:pPr>
      <w:r w:rsidRPr="6B65F250">
        <w:rPr>
          <w:rFonts w:ascii="Times New Roman" w:eastAsia="Times New Roman" w:hAnsi="Times New Roman" w:cs="Times New Roman"/>
          <w:sz w:val="24"/>
          <w:szCs w:val="24"/>
        </w:rPr>
        <w:t xml:space="preserve">This article should encourage expectant faith and boldness among those the Lord is calling to catalyze a movement among the unreached. Neither limited length of gospel proclamation nor apparent lack of receptivity among a people group should diminish anyone’s faith that a movement breakthrough is possible and indeed may be imminent. The great need is a catalyst equipped with a set of </w:t>
      </w:r>
      <w:proofErr w:type="gramStart"/>
      <w:r w:rsidRPr="6B65F250">
        <w:rPr>
          <w:rFonts w:ascii="Times New Roman" w:eastAsia="Times New Roman" w:hAnsi="Times New Roman" w:cs="Times New Roman"/>
          <w:sz w:val="24"/>
          <w:szCs w:val="24"/>
        </w:rPr>
        <w:t>particular traits</w:t>
      </w:r>
      <w:proofErr w:type="gramEnd"/>
      <w:r w:rsidRPr="6B65F250">
        <w:rPr>
          <w:rFonts w:ascii="Times New Roman" w:eastAsia="Times New Roman" w:hAnsi="Times New Roman" w:cs="Times New Roman"/>
          <w:sz w:val="24"/>
          <w:szCs w:val="24"/>
        </w:rPr>
        <w:t xml:space="preserve"> and competencies who works in synergy with God as skilled master builder.</w:t>
      </w:r>
    </w:p>
    <w:p w14:paraId="00000044" w14:textId="77777777" w:rsidR="00356CC7" w:rsidRDefault="008F3C1E">
      <w:pPr>
        <w:pStyle w:val="Heading1"/>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00000045" w14:textId="283CB977" w:rsidR="00356CC7" w:rsidRDefault="6B65F250" w:rsidP="6B65F250">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6B65F250">
        <w:rPr>
          <w:rFonts w:ascii="Times New Roman" w:eastAsia="Times New Roman" w:hAnsi="Times New Roman" w:cs="Times New Roman"/>
          <w:sz w:val="24"/>
          <w:szCs w:val="24"/>
        </w:rPr>
        <w:t xml:space="preserve">Blanc, Jean L. (2006). </w:t>
      </w:r>
      <w:proofErr w:type="spellStart"/>
      <w:r w:rsidRPr="6B65F250">
        <w:rPr>
          <w:rFonts w:ascii="Times New Roman" w:eastAsia="Times New Roman" w:hAnsi="Times New Roman" w:cs="Times New Roman"/>
          <w:i/>
          <w:iCs/>
          <w:sz w:val="24"/>
          <w:szCs w:val="24"/>
        </w:rPr>
        <w:t>Algérie</w:t>
      </w:r>
      <w:proofErr w:type="spellEnd"/>
      <w:r w:rsidRPr="6B65F250">
        <w:rPr>
          <w:rFonts w:ascii="Times New Roman" w:eastAsia="Times New Roman" w:hAnsi="Times New Roman" w:cs="Times New Roman"/>
          <w:i/>
          <w:iCs/>
          <w:sz w:val="24"/>
          <w:szCs w:val="24"/>
        </w:rPr>
        <w:t xml:space="preserve">, </w:t>
      </w:r>
      <w:proofErr w:type="spellStart"/>
      <w:r w:rsidRPr="6B65F250">
        <w:rPr>
          <w:rFonts w:ascii="Times New Roman" w:eastAsia="Times New Roman" w:hAnsi="Times New Roman" w:cs="Times New Roman"/>
          <w:i/>
          <w:iCs/>
          <w:sz w:val="24"/>
          <w:szCs w:val="24"/>
        </w:rPr>
        <w:t>tu</w:t>
      </w:r>
      <w:proofErr w:type="spellEnd"/>
      <w:r w:rsidRPr="6B65F250">
        <w:rPr>
          <w:rFonts w:ascii="Times New Roman" w:eastAsia="Times New Roman" w:hAnsi="Times New Roman" w:cs="Times New Roman"/>
          <w:i/>
          <w:iCs/>
          <w:sz w:val="24"/>
          <w:szCs w:val="24"/>
        </w:rPr>
        <w:t xml:space="preserve"> es à </w:t>
      </w:r>
      <w:proofErr w:type="spellStart"/>
      <w:proofErr w:type="gramStart"/>
      <w:r w:rsidRPr="6B65F250">
        <w:rPr>
          <w:rFonts w:ascii="Times New Roman" w:eastAsia="Times New Roman" w:hAnsi="Times New Roman" w:cs="Times New Roman"/>
          <w:i/>
          <w:iCs/>
          <w:sz w:val="24"/>
          <w:szCs w:val="24"/>
        </w:rPr>
        <w:t>moi</w:t>
      </w:r>
      <w:proofErr w:type="spellEnd"/>
      <w:r w:rsidRPr="6B65F250">
        <w:rPr>
          <w:rFonts w:ascii="Times New Roman" w:eastAsia="Times New Roman" w:hAnsi="Times New Roman" w:cs="Times New Roman"/>
          <w:i/>
          <w:iCs/>
          <w:sz w:val="24"/>
          <w:szCs w:val="24"/>
        </w:rPr>
        <w:t>!,</w:t>
      </w:r>
      <w:proofErr w:type="gramEnd"/>
      <w:r w:rsidRPr="6B65F250">
        <w:rPr>
          <w:rFonts w:ascii="Times New Roman" w:eastAsia="Times New Roman" w:hAnsi="Times New Roman" w:cs="Times New Roman"/>
          <w:i/>
          <w:iCs/>
          <w:sz w:val="24"/>
          <w:szCs w:val="24"/>
        </w:rPr>
        <w:t xml:space="preserve"> </w:t>
      </w:r>
      <w:proofErr w:type="spellStart"/>
      <w:r w:rsidRPr="6B65F250">
        <w:rPr>
          <w:rFonts w:ascii="Times New Roman" w:eastAsia="Times New Roman" w:hAnsi="Times New Roman" w:cs="Times New Roman"/>
          <w:i/>
          <w:iCs/>
          <w:sz w:val="24"/>
          <w:szCs w:val="24"/>
        </w:rPr>
        <w:t>signé</w:t>
      </w:r>
      <w:proofErr w:type="spellEnd"/>
      <w:r w:rsidRPr="6B65F250">
        <w:rPr>
          <w:rFonts w:ascii="Times New Roman" w:eastAsia="Times New Roman" w:hAnsi="Times New Roman" w:cs="Times New Roman"/>
          <w:i/>
          <w:iCs/>
          <w:sz w:val="24"/>
          <w:szCs w:val="24"/>
        </w:rPr>
        <w:t xml:space="preserve"> Dieu</w:t>
      </w:r>
      <w:r w:rsidRPr="6B65F250">
        <w:rPr>
          <w:rFonts w:ascii="Times New Roman" w:eastAsia="Times New Roman" w:hAnsi="Times New Roman" w:cs="Times New Roman"/>
          <w:sz w:val="24"/>
          <w:szCs w:val="24"/>
        </w:rPr>
        <w:t xml:space="preserve"> (</w:t>
      </w:r>
      <w:r w:rsidRPr="6B65F250">
        <w:rPr>
          <w:rFonts w:ascii="Times New Roman" w:eastAsia="Times New Roman" w:hAnsi="Times New Roman" w:cs="Times New Roman"/>
          <w:i/>
          <w:iCs/>
          <w:sz w:val="24"/>
          <w:szCs w:val="24"/>
        </w:rPr>
        <w:t>Algeria, You Are Mine!, Signed by God</w:t>
      </w:r>
      <w:r w:rsidRPr="6B65F250">
        <w:rPr>
          <w:rFonts w:ascii="Times New Roman" w:eastAsia="Times New Roman" w:hAnsi="Times New Roman" w:cs="Times New Roman"/>
          <w:sz w:val="24"/>
          <w:szCs w:val="24"/>
        </w:rPr>
        <w:t xml:space="preserve">). </w:t>
      </w:r>
      <w:proofErr w:type="spellStart"/>
      <w:r w:rsidRPr="6B65F250">
        <w:rPr>
          <w:rFonts w:ascii="Times New Roman" w:eastAsia="Times New Roman" w:hAnsi="Times New Roman" w:cs="Times New Roman"/>
          <w:sz w:val="24"/>
          <w:szCs w:val="24"/>
        </w:rPr>
        <w:t>Thoune</w:t>
      </w:r>
      <w:proofErr w:type="spellEnd"/>
      <w:r w:rsidRPr="6B65F250">
        <w:rPr>
          <w:rFonts w:ascii="Times New Roman" w:eastAsia="Times New Roman" w:hAnsi="Times New Roman" w:cs="Times New Roman"/>
          <w:sz w:val="24"/>
          <w:szCs w:val="24"/>
        </w:rPr>
        <w:t xml:space="preserve">: Editions </w:t>
      </w:r>
      <w:proofErr w:type="spellStart"/>
      <w:r w:rsidRPr="6B65F250">
        <w:rPr>
          <w:rFonts w:ascii="Times New Roman" w:eastAsia="Times New Roman" w:hAnsi="Times New Roman" w:cs="Times New Roman"/>
          <w:sz w:val="24"/>
          <w:szCs w:val="24"/>
        </w:rPr>
        <w:t>Sénevé</w:t>
      </w:r>
      <w:proofErr w:type="spellEnd"/>
      <w:r w:rsidRPr="6B65F250">
        <w:rPr>
          <w:rFonts w:ascii="Times New Roman" w:eastAsia="Times New Roman" w:hAnsi="Times New Roman" w:cs="Times New Roman"/>
          <w:sz w:val="24"/>
          <w:szCs w:val="24"/>
        </w:rPr>
        <w:t>.</w:t>
      </w:r>
    </w:p>
    <w:p w14:paraId="00000046" w14:textId="600C5E96" w:rsidR="00356CC7" w:rsidRDefault="63DCED76"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63DCED76">
        <w:rPr>
          <w:rFonts w:ascii="Times New Roman" w:eastAsia="Times New Roman" w:hAnsi="Times New Roman" w:cs="Times New Roman"/>
          <w:sz w:val="24"/>
          <w:szCs w:val="24"/>
        </w:rPr>
        <w:t xml:space="preserve">Calvin, Jean (1989 [1536]). </w:t>
      </w:r>
      <w:r w:rsidRPr="63DCED76">
        <w:rPr>
          <w:rFonts w:ascii="Times New Roman" w:eastAsia="Times New Roman" w:hAnsi="Times New Roman" w:cs="Times New Roman"/>
          <w:i/>
          <w:iCs/>
          <w:sz w:val="24"/>
          <w:szCs w:val="24"/>
        </w:rPr>
        <w:t>Institutes of the Christian Religion</w:t>
      </w:r>
      <w:r w:rsidRPr="63DCED76">
        <w:rPr>
          <w:rFonts w:ascii="Times New Roman" w:eastAsia="Times New Roman" w:hAnsi="Times New Roman" w:cs="Times New Roman"/>
          <w:sz w:val="24"/>
          <w:szCs w:val="24"/>
        </w:rPr>
        <w:t>. Trans. by Henry Beveridge. Grand Rapids: Eerdmans.</w:t>
      </w:r>
    </w:p>
    <w:p w14:paraId="62F6384C" w14:textId="4158EB77" w:rsidR="00356CC7" w:rsidRDefault="53CE7795" w:rsidP="53CE7795">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53CE7795">
        <w:rPr>
          <w:rFonts w:ascii="Times New Roman" w:eastAsia="Times New Roman" w:hAnsi="Times New Roman" w:cs="Times New Roman"/>
          <w:sz w:val="24"/>
          <w:szCs w:val="24"/>
        </w:rPr>
        <w:t xml:space="preserve">Clark, Gordon H. (2006). </w:t>
      </w:r>
      <w:r w:rsidRPr="53CE7795">
        <w:rPr>
          <w:rFonts w:ascii="Times New Roman" w:eastAsia="Times New Roman" w:hAnsi="Times New Roman" w:cs="Times New Roman"/>
          <w:i/>
          <w:iCs/>
          <w:sz w:val="24"/>
          <w:szCs w:val="24"/>
        </w:rPr>
        <w:t>Predestination</w:t>
      </w:r>
      <w:r w:rsidRPr="53CE7795">
        <w:rPr>
          <w:rFonts w:ascii="Times New Roman" w:eastAsia="Times New Roman" w:hAnsi="Times New Roman" w:cs="Times New Roman"/>
          <w:sz w:val="24"/>
          <w:szCs w:val="24"/>
        </w:rPr>
        <w:t>. Unicoi: The Trinity Foundation.</w:t>
      </w:r>
    </w:p>
    <w:p w14:paraId="00000048" w14:textId="180CB8A2" w:rsidR="00356CC7" w:rsidRDefault="53CE7795"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53CE7795">
        <w:rPr>
          <w:rFonts w:ascii="Times New Roman" w:eastAsia="Times New Roman" w:hAnsi="Times New Roman" w:cs="Times New Roman"/>
          <w:sz w:val="24"/>
          <w:szCs w:val="24"/>
        </w:rPr>
        <w:t xml:space="preserve">Clark, Jeffrey W. (2013). </w:t>
      </w:r>
      <w:r w:rsidRPr="53CE7795">
        <w:rPr>
          <w:rFonts w:ascii="Times New Roman" w:eastAsia="Times New Roman" w:hAnsi="Times New Roman" w:cs="Times New Roman"/>
          <w:i/>
          <w:iCs/>
          <w:sz w:val="24"/>
          <w:szCs w:val="24"/>
        </w:rPr>
        <w:t>If God Is in Control of Everything, Why Evangelize? The Evangelistic Theology of James I. Packer in Contemporary Literature and Practice</w:t>
      </w:r>
      <w:r w:rsidRPr="53CE7795">
        <w:rPr>
          <w:rFonts w:ascii="Times New Roman" w:eastAsia="Times New Roman" w:hAnsi="Times New Roman" w:cs="Times New Roman"/>
          <w:sz w:val="24"/>
          <w:szCs w:val="24"/>
        </w:rPr>
        <w:t xml:space="preserve">. </w:t>
      </w:r>
      <w:proofErr w:type="spellStart"/>
      <w:r w:rsidRPr="53CE7795">
        <w:rPr>
          <w:rFonts w:ascii="Times New Roman" w:eastAsia="Times New Roman" w:hAnsi="Times New Roman" w:cs="Times New Roman"/>
          <w:sz w:val="24"/>
          <w:szCs w:val="24"/>
        </w:rPr>
        <w:t>WaveCloud</w:t>
      </w:r>
      <w:proofErr w:type="spellEnd"/>
      <w:r w:rsidRPr="53CE7795">
        <w:rPr>
          <w:rFonts w:ascii="Times New Roman" w:eastAsia="Times New Roman" w:hAnsi="Times New Roman" w:cs="Times New Roman"/>
          <w:sz w:val="24"/>
          <w:szCs w:val="24"/>
        </w:rPr>
        <w:t>.</w:t>
      </w:r>
    </w:p>
    <w:p w14:paraId="00000049" w14:textId="199F2B8D" w:rsidR="00356CC7" w:rsidRDefault="63DCED76"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63DCED76">
        <w:rPr>
          <w:rFonts w:ascii="Times New Roman" w:eastAsia="Times New Roman" w:hAnsi="Times New Roman" w:cs="Times New Roman"/>
          <w:sz w:val="24"/>
          <w:szCs w:val="24"/>
        </w:rPr>
        <w:t xml:space="preserve">Dayton, Edward R. and Fraser, David A. (2003). </w:t>
      </w:r>
      <w:r w:rsidRPr="63DCED76">
        <w:rPr>
          <w:rFonts w:ascii="Times New Roman" w:eastAsia="Times New Roman" w:hAnsi="Times New Roman" w:cs="Times New Roman"/>
          <w:i/>
          <w:iCs/>
          <w:sz w:val="24"/>
          <w:szCs w:val="24"/>
        </w:rPr>
        <w:t>Planning Strategies for World Evangelization</w:t>
      </w:r>
      <w:r w:rsidRPr="63DCED76">
        <w:rPr>
          <w:rFonts w:ascii="Times New Roman" w:eastAsia="Times New Roman" w:hAnsi="Times New Roman" w:cs="Times New Roman"/>
          <w:sz w:val="24"/>
          <w:szCs w:val="24"/>
        </w:rPr>
        <w:t>. Eugene: Wipf &amp; Stock.</w:t>
      </w:r>
    </w:p>
    <w:p w14:paraId="0000004A" w14:textId="737CA790" w:rsidR="00356CC7" w:rsidRDefault="63DCED76"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63DCED76">
        <w:rPr>
          <w:rFonts w:ascii="Times New Roman" w:eastAsia="Times New Roman" w:hAnsi="Times New Roman" w:cs="Times New Roman"/>
          <w:sz w:val="24"/>
          <w:szCs w:val="24"/>
        </w:rPr>
        <w:t xml:space="preserve">Farah, Warrick, ed. (2021). </w:t>
      </w:r>
      <w:r w:rsidRPr="63DCED76">
        <w:rPr>
          <w:rFonts w:ascii="Times New Roman" w:eastAsia="Times New Roman" w:hAnsi="Times New Roman" w:cs="Times New Roman"/>
          <w:i/>
          <w:iCs/>
          <w:sz w:val="24"/>
          <w:szCs w:val="24"/>
        </w:rPr>
        <w:t>Motus Dei: The Movement of God and the Discipleship of Nations</w:t>
      </w:r>
      <w:r w:rsidRPr="63DCED76">
        <w:rPr>
          <w:rFonts w:ascii="Times New Roman" w:eastAsia="Times New Roman" w:hAnsi="Times New Roman" w:cs="Times New Roman"/>
          <w:sz w:val="24"/>
          <w:szCs w:val="24"/>
        </w:rPr>
        <w:t>. Littleton: William Carey.</w:t>
      </w:r>
    </w:p>
    <w:p w14:paraId="0000004B" w14:textId="5ED336DD" w:rsidR="00356CC7" w:rsidRDefault="63DCED76"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63DCED76">
        <w:rPr>
          <w:rFonts w:ascii="Times New Roman" w:eastAsia="Times New Roman" w:hAnsi="Times New Roman" w:cs="Times New Roman"/>
          <w:sz w:val="24"/>
          <w:szCs w:val="24"/>
        </w:rPr>
        <w:t xml:space="preserve">Garrison, David (2014). </w:t>
      </w:r>
      <w:r w:rsidRPr="63DCED76">
        <w:rPr>
          <w:rFonts w:ascii="Times New Roman" w:eastAsia="Times New Roman" w:hAnsi="Times New Roman" w:cs="Times New Roman"/>
          <w:i/>
          <w:iCs/>
          <w:sz w:val="24"/>
          <w:szCs w:val="24"/>
        </w:rPr>
        <w:t>A Wind in the House of Islam: How God is Drawing Muslims around the World to Faith in Jesus Christ</w:t>
      </w:r>
      <w:r w:rsidRPr="63DCED76">
        <w:rPr>
          <w:rFonts w:ascii="Times New Roman" w:eastAsia="Times New Roman" w:hAnsi="Times New Roman" w:cs="Times New Roman"/>
          <w:sz w:val="24"/>
          <w:szCs w:val="24"/>
        </w:rPr>
        <w:t xml:space="preserve">. Midlothian: </w:t>
      </w:r>
      <w:proofErr w:type="spellStart"/>
      <w:r w:rsidRPr="63DCED76">
        <w:rPr>
          <w:rFonts w:ascii="Times New Roman" w:eastAsia="Times New Roman" w:hAnsi="Times New Roman" w:cs="Times New Roman"/>
          <w:sz w:val="24"/>
          <w:szCs w:val="24"/>
        </w:rPr>
        <w:t>WIGTake</w:t>
      </w:r>
      <w:proofErr w:type="spellEnd"/>
      <w:r w:rsidRPr="63DCED76">
        <w:rPr>
          <w:rFonts w:ascii="Times New Roman" w:eastAsia="Times New Roman" w:hAnsi="Times New Roman" w:cs="Times New Roman"/>
          <w:sz w:val="24"/>
          <w:szCs w:val="24"/>
        </w:rPr>
        <w:t xml:space="preserve"> Resource.</w:t>
      </w:r>
    </w:p>
    <w:p w14:paraId="0000004C" w14:textId="4680BF85" w:rsidR="00356CC7" w:rsidRDefault="63DCED76" w:rsidP="6B65F250">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proofErr w:type="spellStart"/>
      <w:r w:rsidRPr="6B65F250">
        <w:rPr>
          <w:rFonts w:ascii="Times New Roman" w:eastAsia="Times New Roman" w:hAnsi="Times New Roman" w:cs="Times New Roman"/>
          <w:sz w:val="24"/>
          <w:szCs w:val="24"/>
        </w:rPr>
        <w:t>Goldmann</w:t>
      </w:r>
      <w:proofErr w:type="spellEnd"/>
      <w:r w:rsidRPr="6B65F250">
        <w:rPr>
          <w:rFonts w:ascii="Times New Roman" w:eastAsia="Times New Roman" w:hAnsi="Times New Roman" w:cs="Times New Roman"/>
          <w:sz w:val="24"/>
          <w:szCs w:val="24"/>
        </w:rPr>
        <w:t xml:space="preserve">, Bob. (2006). Are We Accelerating or Inhibiting Movements to Christ? </w:t>
      </w:r>
      <w:r w:rsidRPr="6B65F250">
        <w:rPr>
          <w:rFonts w:ascii="Times New Roman" w:eastAsia="Times New Roman" w:hAnsi="Times New Roman" w:cs="Times New Roman"/>
          <w:i/>
          <w:iCs/>
          <w:sz w:val="24"/>
          <w:szCs w:val="24"/>
        </w:rPr>
        <w:t>Mission Frontiers</w:t>
      </w:r>
      <w:r w:rsidRPr="6B65F250">
        <w:rPr>
          <w:rFonts w:ascii="Times New Roman" w:eastAsia="Times New Roman" w:hAnsi="Times New Roman" w:cs="Times New Roman"/>
          <w:sz w:val="24"/>
          <w:szCs w:val="24"/>
        </w:rPr>
        <w:t xml:space="preserve"> 28, 8-13.</w:t>
      </w:r>
      <w:r w:rsidR="6B65F250" w:rsidRPr="6B65F250">
        <w:rPr>
          <w:rFonts w:ascii="Times New Roman" w:eastAsia="Times New Roman" w:hAnsi="Times New Roman" w:cs="Times New Roman"/>
          <w:sz w:val="24"/>
          <w:szCs w:val="24"/>
        </w:rPr>
        <w:t xml:space="preserve"> Available online at </w:t>
      </w:r>
      <w:hyperlink r:id="rId10">
        <w:r w:rsidR="6B65F250" w:rsidRPr="6B65F250">
          <w:rPr>
            <w:rStyle w:val="Hyperlink"/>
            <w:rFonts w:ascii="Times New Roman" w:eastAsia="Times New Roman" w:hAnsi="Times New Roman" w:cs="Times New Roman"/>
            <w:color w:val="auto"/>
            <w:sz w:val="24"/>
            <w:szCs w:val="24"/>
          </w:rPr>
          <w:t>http://www.missionfrontiers.org/issue/article/are-we-accelerating-or-inhibiting-movements-to-christ</w:t>
        </w:r>
      </w:hyperlink>
      <w:r w:rsidRPr="6B65F250">
        <w:rPr>
          <w:rFonts w:ascii="Times New Roman" w:eastAsia="Times New Roman" w:hAnsi="Times New Roman" w:cs="Times New Roman"/>
          <w:sz w:val="24"/>
          <w:szCs w:val="24"/>
        </w:rPr>
        <w:t xml:space="preserve"> (accessed January 25, 2022).</w:t>
      </w:r>
    </w:p>
    <w:p w14:paraId="0000004D" w14:textId="4CD35EB5" w:rsidR="00356CC7" w:rsidRDefault="6B65F250" w:rsidP="6B65F250">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6B65F250">
        <w:rPr>
          <w:rFonts w:ascii="Times New Roman" w:eastAsia="Times New Roman" w:hAnsi="Times New Roman" w:cs="Times New Roman"/>
          <w:sz w:val="24"/>
          <w:szCs w:val="24"/>
        </w:rPr>
        <w:t xml:space="preserve">Grudem, Wayne A. (1994). </w:t>
      </w:r>
      <w:r w:rsidRPr="6B65F250">
        <w:rPr>
          <w:rFonts w:ascii="Times New Roman" w:eastAsia="Times New Roman" w:hAnsi="Times New Roman" w:cs="Times New Roman"/>
          <w:i/>
          <w:iCs/>
          <w:sz w:val="24"/>
          <w:szCs w:val="24"/>
        </w:rPr>
        <w:t>Systematic Theology: An Introduction to Biblical Doctrine</w:t>
      </w:r>
      <w:r w:rsidRPr="6B65F250">
        <w:rPr>
          <w:rFonts w:ascii="Times New Roman" w:eastAsia="Times New Roman" w:hAnsi="Times New Roman" w:cs="Times New Roman"/>
          <w:sz w:val="24"/>
          <w:szCs w:val="24"/>
        </w:rPr>
        <w:t>. Grand Rapids: Zondervan.</w:t>
      </w:r>
    </w:p>
    <w:p w14:paraId="0000004E" w14:textId="3B533105" w:rsidR="00356CC7" w:rsidRDefault="63DCED76"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63DCED76">
        <w:rPr>
          <w:rFonts w:ascii="Times New Roman" w:eastAsia="Times New Roman" w:hAnsi="Times New Roman" w:cs="Times New Roman"/>
          <w:sz w:val="24"/>
          <w:szCs w:val="24"/>
        </w:rPr>
        <w:t xml:space="preserve">Livingstone, Greg (1993). </w:t>
      </w:r>
      <w:r w:rsidRPr="63DCED76">
        <w:rPr>
          <w:rFonts w:ascii="Times New Roman" w:eastAsia="Times New Roman" w:hAnsi="Times New Roman" w:cs="Times New Roman"/>
          <w:i/>
          <w:iCs/>
          <w:sz w:val="24"/>
          <w:szCs w:val="24"/>
        </w:rPr>
        <w:t>Planting Churches in Muslim Cities: A Team Approach</w:t>
      </w:r>
      <w:r w:rsidRPr="63DCED76">
        <w:rPr>
          <w:rFonts w:ascii="Times New Roman" w:eastAsia="Times New Roman" w:hAnsi="Times New Roman" w:cs="Times New Roman"/>
          <w:sz w:val="24"/>
          <w:szCs w:val="24"/>
        </w:rPr>
        <w:t>. Grand Rapids: Baker Book House.</w:t>
      </w:r>
    </w:p>
    <w:p w14:paraId="0000004F" w14:textId="049A01BC" w:rsidR="00356CC7" w:rsidRPr="00F77EAF" w:rsidRDefault="6B65F250" w:rsidP="6B65F250">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lang w:val="de-DE"/>
        </w:rPr>
      </w:pPr>
      <w:r w:rsidRPr="6B65F250">
        <w:rPr>
          <w:rFonts w:ascii="Times New Roman" w:eastAsia="Times New Roman" w:hAnsi="Times New Roman" w:cs="Times New Roman"/>
          <w:sz w:val="24"/>
          <w:szCs w:val="24"/>
        </w:rPr>
        <w:t xml:space="preserve">Luther, Martin 1973 [1516]. </w:t>
      </w:r>
      <w:proofErr w:type="spellStart"/>
      <w:r w:rsidRPr="6B65F250">
        <w:rPr>
          <w:rFonts w:ascii="Times New Roman" w:eastAsia="Times New Roman" w:hAnsi="Times New Roman" w:cs="Times New Roman"/>
          <w:i/>
          <w:iCs/>
          <w:sz w:val="24"/>
          <w:szCs w:val="24"/>
        </w:rPr>
        <w:t>Römerbriefvorlesung</w:t>
      </w:r>
      <w:proofErr w:type="spellEnd"/>
      <w:r w:rsidRPr="6B65F250">
        <w:rPr>
          <w:rFonts w:ascii="Times New Roman" w:eastAsia="Times New Roman" w:hAnsi="Times New Roman" w:cs="Times New Roman"/>
          <w:sz w:val="24"/>
          <w:szCs w:val="24"/>
        </w:rPr>
        <w:t xml:space="preserve"> (</w:t>
      </w:r>
      <w:r w:rsidRPr="6B65F250">
        <w:rPr>
          <w:rFonts w:ascii="Times New Roman" w:eastAsia="Times New Roman" w:hAnsi="Times New Roman" w:cs="Times New Roman"/>
          <w:i/>
          <w:iCs/>
          <w:sz w:val="24"/>
          <w:szCs w:val="24"/>
        </w:rPr>
        <w:t>Lectures on Romans</w:t>
      </w:r>
      <w:r w:rsidRPr="6B65F250">
        <w:rPr>
          <w:rFonts w:ascii="Times New Roman" w:eastAsia="Times New Roman" w:hAnsi="Times New Roman" w:cs="Times New Roman"/>
          <w:sz w:val="24"/>
          <w:szCs w:val="24"/>
        </w:rPr>
        <w:t xml:space="preserve">). </w:t>
      </w:r>
      <w:r w:rsidRPr="00F77EAF">
        <w:rPr>
          <w:rFonts w:ascii="Times New Roman" w:eastAsia="Times New Roman" w:hAnsi="Times New Roman" w:cs="Times New Roman"/>
          <w:sz w:val="24"/>
          <w:szCs w:val="24"/>
          <w:lang w:val="de-DE"/>
        </w:rPr>
        <w:t>Hg. von S. Borcherdt &amp; Georg Merz. München: Chr. Kaiser Verlag.</w:t>
      </w:r>
    </w:p>
    <w:p w14:paraId="00000050" w14:textId="0E5F794C" w:rsidR="00356CC7" w:rsidRDefault="63DCED76"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proofErr w:type="spellStart"/>
      <w:r w:rsidRPr="63DCED76">
        <w:rPr>
          <w:rFonts w:ascii="Times New Roman" w:eastAsia="Times New Roman" w:hAnsi="Times New Roman" w:cs="Times New Roman"/>
          <w:sz w:val="24"/>
          <w:szCs w:val="24"/>
        </w:rPr>
        <w:t>Mandryk</w:t>
      </w:r>
      <w:proofErr w:type="spellEnd"/>
      <w:r w:rsidRPr="63DCED76">
        <w:rPr>
          <w:rFonts w:ascii="Times New Roman" w:eastAsia="Times New Roman" w:hAnsi="Times New Roman" w:cs="Times New Roman"/>
          <w:sz w:val="24"/>
          <w:szCs w:val="24"/>
        </w:rPr>
        <w:t xml:space="preserve">, Jason (2010). </w:t>
      </w:r>
      <w:r w:rsidRPr="63DCED76">
        <w:rPr>
          <w:rFonts w:ascii="Times New Roman" w:eastAsia="Times New Roman" w:hAnsi="Times New Roman" w:cs="Times New Roman"/>
          <w:i/>
          <w:iCs/>
          <w:sz w:val="24"/>
          <w:szCs w:val="24"/>
        </w:rPr>
        <w:t>Operation World: The Definitive Prayer Guide to Every Nation</w:t>
      </w:r>
      <w:r w:rsidRPr="63DCED76">
        <w:rPr>
          <w:rFonts w:ascii="Times New Roman" w:eastAsia="Times New Roman" w:hAnsi="Times New Roman" w:cs="Times New Roman"/>
          <w:sz w:val="24"/>
          <w:szCs w:val="24"/>
        </w:rPr>
        <w:t>. 7</w:t>
      </w:r>
      <w:r w:rsidRPr="63DCED76">
        <w:rPr>
          <w:rFonts w:ascii="Times New Roman" w:eastAsia="Times New Roman" w:hAnsi="Times New Roman" w:cs="Times New Roman"/>
          <w:sz w:val="24"/>
          <w:szCs w:val="24"/>
          <w:vertAlign w:val="superscript"/>
        </w:rPr>
        <w:t>th</w:t>
      </w:r>
      <w:r w:rsidRPr="63DCED76">
        <w:rPr>
          <w:rFonts w:ascii="Times New Roman" w:eastAsia="Times New Roman" w:hAnsi="Times New Roman" w:cs="Times New Roman"/>
          <w:sz w:val="24"/>
          <w:szCs w:val="24"/>
        </w:rPr>
        <w:t xml:space="preserve"> ed. Colorado Springs: </w:t>
      </w:r>
      <w:proofErr w:type="spellStart"/>
      <w:r w:rsidRPr="63DCED76">
        <w:rPr>
          <w:rFonts w:ascii="Times New Roman" w:eastAsia="Times New Roman" w:hAnsi="Times New Roman" w:cs="Times New Roman"/>
          <w:sz w:val="24"/>
          <w:szCs w:val="24"/>
        </w:rPr>
        <w:t>Biblica</w:t>
      </w:r>
      <w:proofErr w:type="spellEnd"/>
      <w:r w:rsidRPr="63DCED76">
        <w:rPr>
          <w:rFonts w:ascii="Times New Roman" w:eastAsia="Times New Roman" w:hAnsi="Times New Roman" w:cs="Times New Roman"/>
          <w:sz w:val="24"/>
          <w:szCs w:val="24"/>
        </w:rPr>
        <w:t xml:space="preserve"> Publishing.</w:t>
      </w:r>
    </w:p>
    <w:p w14:paraId="00000051" w14:textId="47B1D8D2" w:rsidR="00356CC7" w:rsidRDefault="63DCED76"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i/>
          <w:iCs/>
          <w:sz w:val="24"/>
          <w:szCs w:val="24"/>
        </w:rPr>
      </w:pPr>
      <w:r w:rsidRPr="63DCED76">
        <w:rPr>
          <w:rFonts w:ascii="Times New Roman" w:eastAsia="Times New Roman" w:hAnsi="Times New Roman" w:cs="Times New Roman"/>
          <w:sz w:val="24"/>
          <w:szCs w:val="24"/>
        </w:rPr>
        <w:lastRenderedPageBreak/>
        <w:t xml:space="preserve">Marsh, Charles (1970). </w:t>
      </w:r>
      <w:r w:rsidRPr="63DCED76">
        <w:rPr>
          <w:rFonts w:ascii="Times New Roman" w:eastAsia="Times New Roman" w:hAnsi="Times New Roman" w:cs="Times New Roman"/>
          <w:i/>
          <w:iCs/>
          <w:sz w:val="24"/>
          <w:szCs w:val="24"/>
        </w:rPr>
        <w:t>Too Hard for God?</w:t>
      </w:r>
      <w:r w:rsidRPr="63DCED76">
        <w:rPr>
          <w:rFonts w:ascii="Times New Roman" w:eastAsia="Times New Roman" w:hAnsi="Times New Roman" w:cs="Times New Roman"/>
          <w:sz w:val="24"/>
          <w:szCs w:val="24"/>
        </w:rPr>
        <w:t xml:space="preserve"> Carlisle: Paternoster Publishing.</w:t>
      </w:r>
    </w:p>
    <w:p w14:paraId="00000052" w14:textId="335FB8FF" w:rsidR="00356CC7" w:rsidRDefault="63DCED76"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63DCED76">
        <w:rPr>
          <w:rFonts w:ascii="Times New Roman" w:eastAsia="Times New Roman" w:hAnsi="Times New Roman" w:cs="Times New Roman"/>
          <w:sz w:val="24"/>
          <w:szCs w:val="24"/>
        </w:rPr>
        <w:t xml:space="preserve">Marsh, Daisy M. and </w:t>
      </w:r>
      <w:proofErr w:type="spellStart"/>
      <w:r w:rsidRPr="63DCED76">
        <w:rPr>
          <w:rFonts w:ascii="Times New Roman" w:eastAsia="Times New Roman" w:hAnsi="Times New Roman" w:cs="Times New Roman"/>
          <w:sz w:val="24"/>
          <w:szCs w:val="24"/>
        </w:rPr>
        <w:t>Verwer</w:t>
      </w:r>
      <w:proofErr w:type="spellEnd"/>
      <w:r w:rsidRPr="63DCED76">
        <w:rPr>
          <w:rFonts w:ascii="Times New Roman" w:eastAsia="Times New Roman" w:hAnsi="Times New Roman" w:cs="Times New Roman"/>
          <w:sz w:val="24"/>
          <w:szCs w:val="24"/>
        </w:rPr>
        <w:t xml:space="preserve">, George (1997). </w:t>
      </w:r>
      <w:r w:rsidRPr="63DCED76">
        <w:rPr>
          <w:rFonts w:ascii="Times New Roman" w:eastAsia="Times New Roman" w:hAnsi="Times New Roman" w:cs="Times New Roman"/>
          <w:i/>
          <w:iCs/>
          <w:sz w:val="24"/>
          <w:szCs w:val="24"/>
        </w:rPr>
        <w:t>There’s a God in heaven: Life Experiences among North Africans</w:t>
      </w:r>
      <w:r w:rsidRPr="63DCED76">
        <w:rPr>
          <w:rFonts w:ascii="Times New Roman" w:eastAsia="Times New Roman" w:hAnsi="Times New Roman" w:cs="Times New Roman"/>
          <w:sz w:val="24"/>
          <w:szCs w:val="24"/>
        </w:rPr>
        <w:t>. London: Gazelle Books.</w:t>
      </w:r>
    </w:p>
    <w:p w14:paraId="00000053" w14:textId="77777777" w:rsidR="00356CC7" w:rsidRDefault="63DCED76"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63DCED76">
        <w:rPr>
          <w:rFonts w:ascii="Times New Roman" w:eastAsia="Times New Roman" w:hAnsi="Times New Roman" w:cs="Times New Roman"/>
          <w:sz w:val="24"/>
          <w:szCs w:val="24"/>
        </w:rPr>
        <w:t xml:space="preserve">Packer, James I. 2008. </w:t>
      </w:r>
      <w:r w:rsidRPr="63DCED76">
        <w:rPr>
          <w:rFonts w:ascii="Times New Roman" w:eastAsia="Times New Roman" w:hAnsi="Times New Roman" w:cs="Times New Roman"/>
          <w:i/>
          <w:iCs/>
          <w:sz w:val="24"/>
          <w:szCs w:val="24"/>
        </w:rPr>
        <w:t>Evangelism and the Sovereignty of God</w:t>
      </w:r>
      <w:r w:rsidRPr="63DCED76">
        <w:rPr>
          <w:rFonts w:ascii="Times New Roman" w:eastAsia="Times New Roman" w:hAnsi="Times New Roman" w:cs="Times New Roman"/>
          <w:sz w:val="24"/>
          <w:szCs w:val="24"/>
        </w:rPr>
        <w:t>. Downers Grove: InterVarsity Press.</w:t>
      </w:r>
    </w:p>
    <w:p w14:paraId="00000054" w14:textId="55AB5A7F" w:rsidR="00356CC7" w:rsidRDefault="6B65F250" w:rsidP="6B65F250">
      <w:pPr>
        <w:pBdr>
          <w:top w:val="nil"/>
          <w:left w:val="nil"/>
          <w:bottom w:val="nil"/>
          <w:right w:val="nil"/>
          <w:between w:val="nil"/>
        </w:pBdr>
        <w:spacing w:after="160" w:line="240" w:lineRule="auto"/>
        <w:ind w:left="360" w:hanging="360"/>
        <w:jc w:val="both"/>
        <w:rPr>
          <w:rFonts w:ascii="Times New Roman" w:eastAsia="Times New Roman" w:hAnsi="Times New Roman" w:cs="Times New Roman"/>
          <w:i/>
          <w:iCs/>
          <w:sz w:val="24"/>
          <w:szCs w:val="24"/>
        </w:rPr>
      </w:pPr>
      <w:r w:rsidRPr="6B65F250">
        <w:rPr>
          <w:rFonts w:ascii="Times New Roman" w:eastAsia="Times New Roman" w:hAnsi="Times New Roman" w:cs="Times New Roman"/>
          <w:sz w:val="24"/>
          <w:szCs w:val="24"/>
        </w:rPr>
        <w:t xml:space="preserve">Prinz, Emanuel (2019). </w:t>
      </w:r>
      <w:r w:rsidRPr="6B65F250">
        <w:rPr>
          <w:rFonts w:ascii="Times New Roman" w:eastAsia="Times New Roman" w:hAnsi="Times New Roman" w:cs="Times New Roman"/>
          <w:i/>
          <w:iCs/>
          <w:sz w:val="24"/>
          <w:szCs w:val="24"/>
        </w:rPr>
        <w:t xml:space="preserve">Der </w:t>
      </w:r>
      <w:proofErr w:type="spellStart"/>
      <w:r w:rsidRPr="6B65F250">
        <w:rPr>
          <w:rFonts w:ascii="Times New Roman" w:eastAsia="Times New Roman" w:hAnsi="Times New Roman" w:cs="Times New Roman"/>
          <w:i/>
          <w:iCs/>
          <w:sz w:val="24"/>
          <w:szCs w:val="24"/>
        </w:rPr>
        <w:t>Missionar</w:t>
      </w:r>
      <w:proofErr w:type="spellEnd"/>
      <w:r w:rsidRPr="6B65F250">
        <w:rPr>
          <w:rFonts w:ascii="Times New Roman" w:eastAsia="Times New Roman" w:hAnsi="Times New Roman" w:cs="Times New Roman"/>
          <w:i/>
          <w:iCs/>
          <w:sz w:val="24"/>
          <w:szCs w:val="24"/>
        </w:rPr>
        <w:t xml:space="preserve"> den Gott </w:t>
      </w:r>
      <w:proofErr w:type="spellStart"/>
      <w:r w:rsidRPr="6B65F250">
        <w:rPr>
          <w:rFonts w:ascii="Times New Roman" w:eastAsia="Times New Roman" w:hAnsi="Times New Roman" w:cs="Times New Roman"/>
          <w:i/>
          <w:iCs/>
          <w:sz w:val="24"/>
          <w:szCs w:val="24"/>
        </w:rPr>
        <w:t>zu</w:t>
      </w:r>
      <w:proofErr w:type="spellEnd"/>
      <w:r w:rsidRPr="6B65F250">
        <w:rPr>
          <w:rFonts w:ascii="Times New Roman" w:eastAsia="Times New Roman" w:hAnsi="Times New Roman" w:cs="Times New Roman"/>
          <w:i/>
          <w:iCs/>
          <w:sz w:val="24"/>
          <w:szCs w:val="24"/>
        </w:rPr>
        <w:t xml:space="preserve"> </w:t>
      </w:r>
      <w:proofErr w:type="spellStart"/>
      <w:r w:rsidRPr="6B65F250">
        <w:rPr>
          <w:rFonts w:ascii="Times New Roman" w:eastAsia="Times New Roman" w:hAnsi="Times New Roman" w:cs="Times New Roman"/>
          <w:i/>
          <w:iCs/>
          <w:sz w:val="24"/>
          <w:szCs w:val="24"/>
        </w:rPr>
        <w:t>Großem</w:t>
      </w:r>
      <w:proofErr w:type="spellEnd"/>
      <w:r w:rsidRPr="6B65F250">
        <w:rPr>
          <w:rFonts w:ascii="Times New Roman" w:eastAsia="Times New Roman" w:hAnsi="Times New Roman" w:cs="Times New Roman"/>
          <w:i/>
          <w:iCs/>
          <w:sz w:val="24"/>
          <w:szCs w:val="24"/>
        </w:rPr>
        <w:t xml:space="preserve"> </w:t>
      </w:r>
      <w:proofErr w:type="spellStart"/>
      <w:r w:rsidRPr="6B65F250">
        <w:rPr>
          <w:rFonts w:ascii="Times New Roman" w:eastAsia="Times New Roman" w:hAnsi="Times New Roman" w:cs="Times New Roman"/>
          <w:i/>
          <w:iCs/>
          <w:sz w:val="24"/>
          <w:szCs w:val="24"/>
        </w:rPr>
        <w:t>gebraucht</w:t>
      </w:r>
      <w:proofErr w:type="spellEnd"/>
      <w:r w:rsidRPr="6B65F250">
        <w:rPr>
          <w:rFonts w:ascii="Times New Roman" w:eastAsia="Times New Roman" w:hAnsi="Times New Roman" w:cs="Times New Roman"/>
          <w:sz w:val="24"/>
          <w:szCs w:val="24"/>
        </w:rPr>
        <w:t xml:space="preserve"> (</w:t>
      </w:r>
      <w:r w:rsidRPr="6B65F250">
        <w:rPr>
          <w:rFonts w:ascii="Times New Roman" w:eastAsia="Times New Roman" w:hAnsi="Times New Roman" w:cs="Times New Roman"/>
          <w:i/>
          <w:iCs/>
          <w:sz w:val="24"/>
          <w:szCs w:val="24"/>
        </w:rPr>
        <w:t>The Missionary Whom God Uses for Great Things</w:t>
      </w:r>
      <w:r w:rsidRPr="6B65F250">
        <w:rPr>
          <w:rFonts w:ascii="Times New Roman" w:eastAsia="Times New Roman" w:hAnsi="Times New Roman" w:cs="Times New Roman"/>
          <w:sz w:val="24"/>
          <w:szCs w:val="24"/>
        </w:rPr>
        <w:t>). Nuremberg: VTR</w:t>
      </w:r>
      <w:r w:rsidRPr="6B65F250">
        <w:rPr>
          <w:rFonts w:ascii="Times New Roman" w:eastAsia="Times New Roman" w:hAnsi="Times New Roman" w:cs="Times New Roman"/>
          <w:i/>
          <w:iCs/>
          <w:sz w:val="24"/>
          <w:szCs w:val="24"/>
        </w:rPr>
        <w:t>.</w:t>
      </w:r>
    </w:p>
    <w:p w14:paraId="00000055" w14:textId="4C0D8C66" w:rsidR="00356CC7" w:rsidRDefault="008F3C1E"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color w:val="000000"/>
          <w:sz w:val="24"/>
          <w:szCs w:val="24"/>
        </w:rPr>
      </w:pPr>
      <w:r w:rsidRPr="63DCED76">
        <w:rPr>
          <w:rFonts w:ascii="Times New Roman" w:eastAsia="Times New Roman" w:hAnsi="Times New Roman" w:cs="Times New Roman"/>
          <w:color w:val="000000"/>
          <w:sz w:val="24"/>
          <w:szCs w:val="24"/>
        </w:rPr>
        <w:t xml:space="preserve">_____ </w:t>
      </w:r>
      <w:r w:rsidR="00F77EAF">
        <w:rPr>
          <w:rFonts w:ascii="Times New Roman" w:eastAsia="Times New Roman" w:hAnsi="Times New Roman" w:cs="Times New Roman"/>
          <w:color w:val="000000"/>
          <w:sz w:val="24"/>
          <w:szCs w:val="24"/>
        </w:rPr>
        <w:t>[2022]</w:t>
      </w:r>
      <w:r w:rsidRPr="63DCED76">
        <w:rPr>
          <w:rFonts w:ascii="Times New Roman" w:eastAsia="Times New Roman" w:hAnsi="Times New Roman" w:cs="Times New Roman"/>
          <w:color w:val="000000"/>
          <w:sz w:val="24"/>
          <w:szCs w:val="24"/>
        </w:rPr>
        <w:t>.</w:t>
      </w:r>
      <w:r w:rsidRPr="63DCED76">
        <w:rPr>
          <w:rFonts w:ascii="Times New Roman" w:eastAsia="Times New Roman" w:hAnsi="Times New Roman" w:cs="Times New Roman"/>
          <w:i/>
          <w:iCs/>
          <w:color w:val="000000"/>
          <w:sz w:val="24"/>
          <w:szCs w:val="24"/>
        </w:rPr>
        <w:t xml:space="preserve"> </w:t>
      </w:r>
      <w:r w:rsidRPr="00F77EAF">
        <w:rPr>
          <w:rFonts w:ascii="Times New Roman" w:eastAsia="Times New Roman" w:hAnsi="Times New Roman" w:cs="Times New Roman"/>
          <w:color w:val="000000"/>
          <w:sz w:val="24"/>
          <w:szCs w:val="24"/>
        </w:rPr>
        <w:t>Movement Catalysts: The Profile of the Leaders God Uses to Catalyze Movements.</w:t>
      </w:r>
      <w:r w:rsidRPr="63DCED76">
        <w:rPr>
          <w:rFonts w:ascii="Times New Roman" w:eastAsia="Times New Roman" w:hAnsi="Times New Roman" w:cs="Times New Roman"/>
          <w:color w:val="000000"/>
          <w:sz w:val="24"/>
          <w:szCs w:val="24"/>
        </w:rPr>
        <w:t xml:space="preserve"> </w:t>
      </w:r>
      <w:r w:rsidR="00F77EAF">
        <w:rPr>
          <w:rFonts w:ascii="Times New Roman" w:eastAsia="Times New Roman" w:hAnsi="Times New Roman" w:cs="Times New Roman"/>
          <w:color w:val="000000"/>
          <w:sz w:val="24"/>
          <w:szCs w:val="24"/>
        </w:rPr>
        <w:t>(Forthcoming).</w:t>
      </w:r>
    </w:p>
    <w:p w14:paraId="00000056" w14:textId="460D587B" w:rsidR="00356CC7" w:rsidRDefault="63DCED76"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63DCED76">
        <w:rPr>
          <w:rFonts w:ascii="Times New Roman" w:eastAsia="Times New Roman" w:hAnsi="Times New Roman" w:cs="Times New Roman"/>
          <w:sz w:val="24"/>
          <w:szCs w:val="24"/>
        </w:rPr>
        <w:t xml:space="preserve">Smith, Steve and Kai, Ying (2011). </w:t>
      </w:r>
      <w:r w:rsidRPr="63DCED76">
        <w:rPr>
          <w:rFonts w:ascii="Times New Roman" w:eastAsia="Times New Roman" w:hAnsi="Times New Roman" w:cs="Times New Roman"/>
          <w:i/>
          <w:iCs/>
          <w:sz w:val="24"/>
          <w:szCs w:val="24"/>
        </w:rPr>
        <w:t>T4T: A Discipleship Re-revolution</w:t>
      </w:r>
      <w:r w:rsidRPr="63DCED76">
        <w:rPr>
          <w:rFonts w:ascii="Times New Roman" w:eastAsia="Times New Roman" w:hAnsi="Times New Roman" w:cs="Times New Roman"/>
          <w:sz w:val="24"/>
          <w:szCs w:val="24"/>
        </w:rPr>
        <w:t xml:space="preserve">. Monument: </w:t>
      </w:r>
      <w:proofErr w:type="spellStart"/>
      <w:r w:rsidRPr="63DCED76">
        <w:rPr>
          <w:rFonts w:ascii="Times New Roman" w:eastAsia="Times New Roman" w:hAnsi="Times New Roman" w:cs="Times New Roman"/>
          <w:sz w:val="24"/>
          <w:szCs w:val="24"/>
        </w:rPr>
        <w:t>WIGTake</w:t>
      </w:r>
      <w:proofErr w:type="spellEnd"/>
      <w:r w:rsidRPr="63DCED76">
        <w:rPr>
          <w:rFonts w:ascii="Times New Roman" w:eastAsia="Times New Roman" w:hAnsi="Times New Roman" w:cs="Times New Roman"/>
          <w:sz w:val="24"/>
          <w:szCs w:val="24"/>
        </w:rPr>
        <w:t xml:space="preserve"> Resources.</w:t>
      </w:r>
    </w:p>
    <w:p w14:paraId="00000057" w14:textId="4538BF3F" w:rsidR="00356CC7" w:rsidRDefault="63DCED76"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63DCED76">
        <w:rPr>
          <w:rFonts w:ascii="Times New Roman" w:eastAsia="Times New Roman" w:hAnsi="Times New Roman" w:cs="Times New Roman"/>
          <w:sz w:val="24"/>
          <w:szCs w:val="24"/>
        </w:rPr>
        <w:t xml:space="preserve">Snyder, Jason W. (2010). </w:t>
      </w:r>
      <w:r w:rsidRPr="63DCED76">
        <w:rPr>
          <w:rFonts w:ascii="Times New Roman" w:eastAsia="Times New Roman" w:hAnsi="Times New Roman" w:cs="Times New Roman"/>
          <w:i/>
          <w:iCs/>
          <w:sz w:val="24"/>
          <w:szCs w:val="24"/>
        </w:rPr>
        <w:t>Evangelism and the Sovereignty of God: How God’s Irresistible Grace Compels us to Share</w:t>
      </w:r>
      <w:r w:rsidRPr="63DCED76">
        <w:rPr>
          <w:rFonts w:ascii="Times New Roman" w:eastAsia="Times New Roman" w:hAnsi="Times New Roman" w:cs="Times New Roman"/>
          <w:sz w:val="24"/>
          <w:szCs w:val="24"/>
        </w:rPr>
        <w:t>. Dallas: Dallas Theological Seminary.</w:t>
      </w:r>
    </w:p>
    <w:p w14:paraId="00000058" w14:textId="62613F06" w:rsidR="00356CC7" w:rsidRDefault="63DCED76"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63DCED76">
        <w:rPr>
          <w:rFonts w:ascii="Times New Roman" w:eastAsia="Times New Roman" w:hAnsi="Times New Roman" w:cs="Times New Roman"/>
          <w:sz w:val="24"/>
          <w:szCs w:val="24"/>
        </w:rPr>
        <w:t xml:space="preserve">Stevens, M. (2008). “Focus on next steps…: Lessons from the multi-region </w:t>
      </w:r>
      <w:proofErr w:type="gramStart"/>
      <w:r w:rsidRPr="63DCED76">
        <w:rPr>
          <w:rFonts w:ascii="Times New Roman" w:eastAsia="Times New Roman" w:hAnsi="Times New Roman" w:cs="Times New Roman"/>
          <w:sz w:val="24"/>
          <w:szCs w:val="24"/>
        </w:rPr>
        <w:t>trainers</w:t>
      </w:r>
      <w:proofErr w:type="gramEnd"/>
      <w:r w:rsidRPr="63DCED76">
        <w:rPr>
          <w:rFonts w:ascii="Times New Roman" w:eastAsia="Times New Roman" w:hAnsi="Times New Roman" w:cs="Times New Roman"/>
          <w:sz w:val="24"/>
          <w:szCs w:val="24"/>
        </w:rPr>
        <w:t xml:space="preserve"> forum.” Unpublished paper, Singapore.</w:t>
      </w:r>
    </w:p>
    <w:p w14:paraId="00000059" w14:textId="138029A2" w:rsidR="00356CC7" w:rsidRDefault="63DCED76"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63DCED76">
        <w:rPr>
          <w:rFonts w:ascii="Times New Roman" w:eastAsia="Times New Roman" w:hAnsi="Times New Roman" w:cs="Times New Roman"/>
          <w:sz w:val="24"/>
          <w:szCs w:val="24"/>
        </w:rPr>
        <w:t xml:space="preserve">Trousdale, Jerry (2012). </w:t>
      </w:r>
      <w:r w:rsidRPr="63DCED76">
        <w:rPr>
          <w:rFonts w:ascii="Times New Roman" w:eastAsia="Times New Roman" w:hAnsi="Times New Roman" w:cs="Times New Roman"/>
          <w:i/>
          <w:iCs/>
          <w:sz w:val="24"/>
          <w:szCs w:val="24"/>
        </w:rPr>
        <w:t>Miraculous Movements: How Hundreds of Thousands of Muslims are Falling in Love with Jesus</w:t>
      </w:r>
      <w:r w:rsidRPr="63DCED76">
        <w:rPr>
          <w:rFonts w:ascii="Times New Roman" w:eastAsia="Times New Roman" w:hAnsi="Times New Roman" w:cs="Times New Roman"/>
          <w:sz w:val="24"/>
          <w:szCs w:val="24"/>
        </w:rPr>
        <w:t>. Nashville: Thomas Nelson.</w:t>
      </w:r>
    </w:p>
    <w:p w14:paraId="0000005A" w14:textId="6E64D9BE" w:rsidR="00356CC7" w:rsidRDefault="63DCED76"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63DCED76">
        <w:rPr>
          <w:rFonts w:ascii="Times New Roman" w:eastAsia="Times New Roman" w:hAnsi="Times New Roman" w:cs="Times New Roman"/>
          <w:sz w:val="24"/>
          <w:szCs w:val="24"/>
        </w:rPr>
        <w:t xml:space="preserve">Watson, David and Watson, Paul (2014). </w:t>
      </w:r>
      <w:r w:rsidRPr="63DCED76">
        <w:rPr>
          <w:rFonts w:ascii="Times New Roman" w:eastAsia="Times New Roman" w:hAnsi="Times New Roman" w:cs="Times New Roman"/>
          <w:i/>
          <w:iCs/>
          <w:sz w:val="24"/>
          <w:szCs w:val="24"/>
        </w:rPr>
        <w:t>Contagious Disciple Making: Leading Others on a Journey of Discovery</w:t>
      </w:r>
      <w:r w:rsidRPr="63DCED76">
        <w:rPr>
          <w:rFonts w:ascii="Times New Roman" w:eastAsia="Times New Roman" w:hAnsi="Times New Roman" w:cs="Times New Roman"/>
          <w:sz w:val="24"/>
          <w:szCs w:val="24"/>
        </w:rPr>
        <w:t>. Nashville: Thomas Nelson.</w:t>
      </w:r>
    </w:p>
    <w:p w14:paraId="0000005B" w14:textId="26CE76F4" w:rsidR="00356CC7" w:rsidRDefault="63DCED76" w:rsidP="63DCED76">
      <w:pPr>
        <w:pBdr>
          <w:top w:val="nil"/>
          <w:left w:val="nil"/>
          <w:bottom w:val="nil"/>
          <w:right w:val="nil"/>
          <w:between w:val="nil"/>
        </w:pBdr>
        <w:spacing w:after="160" w:line="240" w:lineRule="auto"/>
        <w:ind w:left="360" w:hanging="360"/>
        <w:jc w:val="both"/>
        <w:rPr>
          <w:rFonts w:ascii="Times New Roman" w:eastAsia="Times New Roman" w:hAnsi="Times New Roman" w:cs="Times New Roman"/>
          <w:sz w:val="24"/>
          <w:szCs w:val="24"/>
        </w:rPr>
      </w:pPr>
      <w:r w:rsidRPr="63DCED76">
        <w:rPr>
          <w:rFonts w:ascii="Times New Roman" w:eastAsia="Times New Roman" w:hAnsi="Times New Roman" w:cs="Times New Roman"/>
          <w:sz w:val="24"/>
          <w:szCs w:val="24"/>
        </w:rPr>
        <w:t xml:space="preserve">Willis, Avery T. (1977). </w:t>
      </w:r>
      <w:r w:rsidRPr="63DCED76">
        <w:rPr>
          <w:rFonts w:ascii="Times New Roman" w:eastAsia="Times New Roman" w:hAnsi="Times New Roman" w:cs="Times New Roman"/>
          <w:i/>
          <w:iCs/>
          <w:sz w:val="24"/>
          <w:szCs w:val="24"/>
        </w:rPr>
        <w:t>Indonesian Revival: Why Two Million Came to Christ</w:t>
      </w:r>
      <w:r w:rsidRPr="63DCED76">
        <w:rPr>
          <w:rFonts w:ascii="Times New Roman" w:eastAsia="Times New Roman" w:hAnsi="Times New Roman" w:cs="Times New Roman"/>
          <w:sz w:val="24"/>
          <w:szCs w:val="24"/>
        </w:rPr>
        <w:t>. South Pasadena: William Carey Library.</w:t>
      </w:r>
    </w:p>
    <w:sectPr w:rsidR="00356CC7" w:rsidSect="00EA362B">
      <w:headerReference w:type="default" r:id="rId11"/>
      <w:footerReference w:type="default" r:id="rId12"/>
      <w:headerReference w:type="first" r:id="rId13"/>
      <w:footerReference w:type="first" r:id="rId14"/>
      <w:pgSz w:w="12240" w:h="15840"/>
      <w:pgMar w:top="1440" w:right="1440" w:bottom="1440" w:left="1440" w:header="720" w:footer="720" w:gutter="0"/>
      <w:pgNumType w:start="6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DCC24" w14:textId="77777777" w:rsidR="002C1034" w:rsidRDefault="002C1034">
      <w:pPr>
        <w:spacing w:after="0" w:line="240" w:lineRule="auto"/>
      </w:pPr>
      <w:r>
        <w:separator/>
      </w:r>
    </w:p>
  </w:endnote>
  <w:endnote w:type="continuationSeparator" w:id="0">
    <w:p w14:paraId="2DFC5EBD" w14:textId="77777777" w:rsidR="002C1034" w:rsidRDefault="002C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758F" w14:textId="7492C8FF" w:rsidR="63DCED76" w:rsidRDefault="007F433A" w:rsidP="007F433A">
    <w:pPr>
      <w:pStyle w:val="Footer"/>
      <w:jc w:val="center"/>
    </w:pPr>
    <w:r w:rsidRPr="63DCED76">
      <w:rPr>
        <w:rFonts w:ascii="Times New Roman" w:eastAsia="Times New Roman" w:hAnsi="Times New Roman" w:cs="Times New Roman"/>
        <w:i/>
        <w:iCs/>
        <w:color w:val="000000" w:themeColor="text1"/>
        <w:sz w:val="20"/>
        <w:szCs w:val="20"/>
      </w:rPr>
      <w:t>Global Missiology</w:t>
    </w:r>
    <w:r w:rsidRPr="63DCED76">
      <w:rPr>
        <w:rFonts w:ascii="Times New Roman" w:eastAsia="Times New Roman" w:hAnsi="Times New Roman" w:cs="Times New Roman"/>
        <w:color w:val="000000" w:themeColor="text1"/>
        <w:sz w:val="20"/>
        <w:szCs w:val="20"/>
      </w:rPr>
      <w:t xml:space="preserve"> - Vol 19, No 1 (2022) 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CC26" w14:textId="569EEF00" w:rsidR="63DCED76" w:rsidRDefault="007F433A" w:rsidP="007F433A">
    <w:pPr>
      <w:pStyle w:val="Footer"/>
      <w:jc w:val="center"/>
    </w:pPr>
    <w:r w:rsidRPr="63DCED76">
      <w:rPr>
        <w:rFonts w:ascii="Times New Roman" w:eastAsia="Times New Roman" w:hAnsi="Times New Roman" w:cs="Times New Roman"/>
        <w:i/>
        <w:iCs/>
        <w:color w:val="000000" w:themeColor="text1"/>
        <w:sz w:val="20"/>
        <w:szCs w:val="20"/>
      </w:rPr>
      <w:t>Global Missiology</w:t>
    </w:r>
    <w:r w:rsidRPr="63DCED76">
      <w:rPr>
        <w:rFonts w:ascii="Times New Roman" w:eastAsia="Times New Roman" w:hAnsi="Times New Roman" w:cs="Times New Roman"/>
        <w:color w:val="000000" w:themeColor="text1"/>
        <w:sz w:val="20"/>
        <w:szCs w:val="20"/>
      </w:rPr>
      <w:t xml:space="preserve"> - Vol 19, No 1 (2022)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31F3C" w14:textId="77777777" w:rsidR="002C1034" w:rsidRDefault="002C1034">
      <w:pPr>
        <w:spacing w:after="0" w:line="240" w:lineRule="auto"/>
      </w:pPr>
      <w:r>
        <w:separator/>
      </w:r>
    </w:p>
  </w:footnote>
  <w:footnote w:type="continuationSeparator" w:id="0">
    <w:p w14:paraId="17DBBA42" w14:textId="77777777" w:rsidR="002C1034" w:rsidRDefault="002C1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333390"/>
      <w:docPartObj>
        <w:docPartGallery w:val="Page Numbers (Top of Page)"/>
        <w:docPartUnique/>
      </w:docPartObj>
    </w:sdtPr>
    <w:sdtEndPr>
      <w:rPr>
        <w:rFonts w:ascii="Times New Roman" w:hAnsi="Times New Roman" w:cs="Times New Roman"/>
        <w:noProof/>
        <w:sz w:val="20"/>
        <w:szCs w:val="20"/>
      </w:rPr>
    </w:sdtEndPr>
    <w:sdtContent>
      <w:p w14:paraId="51B71167" w14:textId="2768490C" w:rsidR="007F433A" w:rsidRPr="007F433A" w:rsidRDefault="007F433A">
        <w:pPr>
          <w:pStyle w:val="Header"/>
          <w:jc w:val="right"/>
          <w:rPr>
            <w:rFonts w:ascii="Times New Roman" w:hAnsi="Times New Roman" w:cs="Times New Roman"/>
            <w:sz w:val="20"/>
            <w:szCs w:val="20"/>
          </w:rPr>
        </w:pPr>
        <w:r w:rsidRPr="007F433A">
          <w:rPr>
            <w:rFonts w:ascii="Times New Roman" w:hAnsi="Times New Roman" w:cs="Times New Roman"/>
            <w:sz w:val="20"/>
            <w:szCs w:val="20"/>
          </w:rPr>
          <w:fldChar w:fldCharType="begin"/>
        </w:r>
        <w:r w:rsidRPr="007F433A">
          <w:rPr>
            <w:rFonts w:ascii="Times New Roman" w:hAnsi="Times New Roman" w:cs="Times New Roman"/>
            <w:sz w:val="20"/>
            <w:szCs w:val="20"/>
          </w:rPr>
          <w:instrText xml:space="preserve"> PAGE   \* MERGEFORMAT </w:instrText>
        </w:r>
        <w:r w:rsidRPr="007F433A">
          <w:rPr>
            <w:rFonts w:ascii="Times New Roman" w:hAnsi="Times New Roman" w:cs="Times New Roman"/>
            <w:sz w:val="20"/>
            <w:szCs w:val="20"/>
          </w:rPr>
          <w:fldChar w:fldCharType="separate"/>
        </w:r>
        <w:r w:rsidRPr="007F433A">
          <w:rPr>
            <w:rFonts w:ascii="Times New Roman" w:hAnsi="Times New Roman" w:cs="Times New Roman"/>
            <w:noProof/>
            <w:sz w:val="20"/>
            <w:szCs w:val="20"/>
          </w:rPr>
          <w:t>2</w:t>
        </w:r>
        <w:r w:rsidRPr="007F433A">
          <w:rPr>
            <w:rFonts w:ascii="Times New Roman" w:hAnsi="Times New Roman" w:cs="Times New Roman"/>
            <w:noProof/>
            <w:sz w:val="20"/>
            <w:szCs w:val="20"/>
          </w:rPr>
          <w:fldChar w:fldCharType="end"/>
        </w:r>
      </w:p>
    </w:sdtContent>
  </w:sdt>
  <w:p w14:paraId="180726CE" w14:textId="1DBE6118" w:rsidR="63DCED76" w:rsidRDefault="63DCED76" w:rsidP="63DCE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820617"/>
      <w:docPartObj>
        <w:docPartGallery w:val="Page Numbers (Top of Page)"/>
        <w:docPartUnique/>
      </w:docPartObj>
    </w:sdtPr>
    <w:sdtEndPr>
      <w:rPr>
        <w:rFonts w:ascii="Times New Roman" w:hAnsi="Times New Roman" w:cs="Times New Roman"/>
        <w:noProof/>
        <w:sz w:val="20"/>
        <w:szCs w:val="20"/>
      </w:rPr>
    </w:sdtEndPr>
    <w:sdtContent>
      <w:p w14:paraId="0C593BE1" w14:textId="6D0B8F5D" w:rsidR="00362B82" w:rsidRPr="00362B82" w:rsidRDefault="002C1034">
        <w:pPr>
          <w:pStyle w:val="Header"/>
          <w:jc w:val="right"/>
          <w:rPr>
            <w:rFonts w:ascii="Times New Roman" w:hAnsi="Times New Roman" w:cs="Times New Roman"/>
            <w:sz w:val="20"/>
            <w:szCs w:val="20"/>
          </w:rPr>
        </w:pPr>
      </w:p>
    </w:sdtContent>
  </w:sdt>
  <w:p w14:paraId="3B2F888D" w14:textId="0D648EA8" w:rsidR="63DCED76" w:rsidRDefault="63DCED76" w:rsidP="63DCED76">
    <w:pPr>
      <w:pStyle w:val="Header"/>
    </w:pPr>
  </w:p>
</w:hdr>
</file>

<file path=word/intelligence.xml><?xml version="1.0" encoding="utf-8"?>
<int:Intelligence xmlns:int="http://schemas.microsoft.com/office/intelligence/2019/intelligence">
  <int:IntelligenceSettings/>
  <int:Manifest>
    <int:ParagraphRange paragraphId="1" textId="2004318071" start="0" length="68" invalidationStart="0" invalidationLength="68" id="KehVmbS0"/>
  </int:Manifest>
  <int:Observations>
    <int:Content id="KehVmbS0">
      <int:Reviewed type="WordDesignerSuggestedImageAnnotation"/>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DCED76"/>
    <w:rsid w:val="00047464"/>
    <w:rsid w:val="0012159D"/>
    <w:rsid w:val="00163A45"/>
    <w:rsid w:val="00213692"/>
    <w:rsid w:val="002C1034"/>
    <w:rsid w:val="00356CC7"/>
    <w:rsid w:val="00362B82"/>
    <w:rsid w:val="003A1C4D"/>
    <w:rsid w:val="003B6D38"/>
    <w:rsid w:val="00624BF4"/>
    <w:rsid w:val="007F433A"/>
    <w:rsid w:val="008F3C1E"/>
    <w:rsid w:val="009A25A4"/>
    <w:rsid w:val="009E3D22"/>
    <w:rsid w:val="00A037C2"/>
    <w:rsid w:val="00B66E6F"/>
    <w:rsid w:val="00B877DC"/>
    <w:rsid w:val="00BA51F3"/>
    <w:rsid w:val="00CC30BC"/>
    <w:rsid w:val="00DE7AF7"/>
    <w:rsid w:val="00EA362B"/>
    <w:rsid w:val="00ED3101"/>
    <w:rsid w:val="00EF2234"/>
    <w:rsid w:val="00F77EAF"/>
    <w:rsid w:val="00F92AF7"/>
    <w:rsid w:val="50740BA8"/>
    <w:rsid w:val="53CE7795"/>
    <w:rsid w:val="63DCED76"/>
    <w:rsid w:val="6B65F250"/>
    <w:rsid w:val="72B69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1F23"/>
  <w15:docId w15:val="{236E4E5B-47BD-4CE8-9ABB-7E0066B0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240" w:after="0"/>
      <w:outlineLvl w:val="0"/>
    </w:pPr>
    <w:rPr>
      <w:color w:val="2E74B5"/>
      <w:sz w:val="32"/>
      <w:szCs w:val="32"/>
    </w:rPr>
  </w:style>
  <w:style w:type="paragraph" w:styleId="Heading2">
    <w:name w:val="heading 2"/>
    <w:basedOn w:val="Normal"/>
    <w:next w:val="Normal"/>
    <w:pPr>
      <w:keepNext/>
      <w:keepLines/>
      <w:pBdr>
        <w:top w:val="nil"/>
        <w:left w:val="nil"/>
        <w:bottom w:val="nil"/>
        <w:right w:val="nil"/>
        <w:between w:val="nil"/>
      </w:pBdr>
      <w:spacing w:before="40" w:after="0"/>
      <w:outlineLvl w:val="1"/>
    </w:pPr>
    <w:rPr>
      <w:color w:val="2E74B5"/>
      <w:sz w:val="26"/>
      <w:szCs w:val="26"/>
    </w:rPr>
  </w:style>
  <w:style w:type="paragraph" w:styleId="Heading3">
    <w:name w:val="heading 3"/>
    <w:basedOn w:val="Normal"/>
    <w:next w:val="Normal"/>
    <w:pPr>
      <w:keepNext/>
      <w:keepLines/>
      <w:pBdr>
        <w:top w:val="nil"/>
        <w:left w:val="nil"/>
        <w:bottom w:val="nil"/>
        <w:right w:val="nil"/>
        <w:between w:val="nil"/>
      </w:pBdr>
      <w:spacing w:after="0"/>
      <w:jc w:val="right"/>
      <w:outlineLvl w:val="2"/>
    </w:pPr>
    <w:rPr>
      <w:rFonts w:ascii="Times New Roman" w:eastAsia="Times New Roman" w:hAnsi="Times New Roman" w:cs="Times New Roman"/>
      <w:b/>
      <w:sz w:val="28"/>
      <w:szCs w:val="28"/>
    </w:rPr>
  </w:style>
  <w:style w:type="paragraph" w:styleId="Heading4">
    <w:name w:val="heading 4"/>
    <w:basedOn w:val="Normal"/>
    <w:next w:val="Normal"/>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pPr>
      <w:keepNext/>
      <w:keepLines/>
      <w:pBdr>
        <w:top w:val="nil"/>
        <w:left w:val="nil"/>
        <w:bottom w:val="nil"/>
        <w:right w:val="nil"/>
        <w:between w:val="nil"/>
      </w:pBdr>
      <w:spacing w:before="40" w:after="0"/>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pPr>
      <w:pBdr>
        <w:top w:val="nil"/>
        <w:left w:val="nil"/>
        <w:bottom w:val="nil"/>
        <w:right w:val="nil"/>
        <w:between w:val="nil"/>
      </w:pBdr>
      <w:spacing w:after="60"/>
      <w:jc w:val="center"/>
    </w:pPr>
    <w:rPr>
      <w:rFonts w:ascii="Arial" w:eastAsia="Arial" w:hAnsi="Arial" w:cs="Arial"/>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47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46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877DC"/>
    <w:rPr>
      <w:b/>
      <w:bCs/>
    </w:rPr>
  </w:style>
  <w:style w:type="character" w:customStyle="1" w:styleId="CommentSubjectChar">
    <w:name w:val="Comment Subject Char"/>
    <w:basedOn w:val="CommentTextChar"/>
    <w:link w:val="CommentSubject"/>
    <w:uiPriority w:val="99"/>
    <w:semiHidden/>
    <w:rsid w:val="00B877DC"/>
    <w:rPr>
      <w:b/>
      <w:bCs/>
      <w:sz w:val="20"/>
      <w:szCs w:val="20"/>
    </w:rPr>
  </w:style>
  <w:style w:type="paragraph" w:styleId="Revision">
    <w:name w:val="Revision"/>
    <w:hidden/>
    <w:uiPriority w:val="99"/>
    <w:semiHidden/>
    <w:rsid w:val="00F77EAF"/>
    <w:pPr>
      <w:spacing w:after="0" w:line="240" w:lineRule="auto"/>
    </w:pPr>
  </w:style>
  <w:style w:type="character" w:styleId="UnresolvedMention">
    <w:name w:val="Unresolved Mention"/>
    <w:basedOn w:val="DefaultParagraphFont"/>
    <w:uiPriority w:val="99"/>
    <w:semiHidden/>
    <w:unhideWhenUsed/>
    <w:rsid w:val="00F77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ef70b33cc6784d0a" Type="http://schemas.microsoft.com/office/2019/09/relationships/intelligence" Target="intelligenc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missionfrontiers.org/issue/article/are-we-accelerating-or-inhibiting-movements-to-christ" TargetMode="External"/><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3031</Words>
  <Characters>17278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C</dc:creator>
  <cp:lastModifiedBy>Kathy Jennings</cp:lastModifiedBy>
  <cp:revision>8</cp:revision>
  <dcterms:created xsi:type="dcterms:W3CDTF">2022-01-27T20:29:00Z</dcterms:created>
  <dcterms:modified xsi:type="dcterms:W3CDTF">2022-01-31T12:05:00Z</dcterms:modified>
</cp:coreProperties>
</file>