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E4BB" w14:textId="4D857376" w:rsidR="005D4FFD" w:rsidRPr="005D4FFD" w:rsidRDefault="005D4FFD" w:rsidP="005D4FF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Book Review</w:t>
      </w:r>
    </w:p>
    <w:p w14:paraId="3F7176FB" w14:textId="55DF151B" w:rsidR="00A10227" w:rsidRPr="005D4FFD" w:rsidRDefault="005D4FFD" w:rsidP="005D4FF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Warrick Farah, ed., </w:t>
      </w:r>
      <w:r w:rsidR="009B1BD7" w:rsidRPr="005D4F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Motus Dei</w:t>
      </w:r>
      <w:r w:rsidRPr="005D4F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:</w:t>
      </w:r>
      <w:r w:rsidRPr="005D4FF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The Movement of God to Disciple the Nations</w:t>
      </w:r>
    </w:p>
    <w:p w14:paraId="087889EA" w14:textId="49D20AD7" w:rsidR="009B1BD7" w:rsidRPr="005D4FFD" w:rsidRDefault="009B1BD7" w:rsidP="005D4FF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Review</w:t>
      </w:r>
      <w:r w:rsidR="005D4FFD" w:rsidRPr="005D4F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Pr="005D4F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Dasan Jeyaraj</w:t>
      </w:r>
    </w:p>
    <w:p w14:paraId="19F6AA35" w14:textId="6A398E23" w:rsidR="005D4FFD" w:rsidRPr="009F1713" w:rsidRDefault="005D4FFD" w:rsidP="005D4FF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Published in </w:t>
      </w:r>
      <w:r w:rsidRPr="00F56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Global Missiology</w:t>
      </w:r>
      <w:r w:rsidRPr="005D4F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hyperlink r:id="rId8" w:history="1">
        <w:r w:rsidRPr="005D4FF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www.globalmissiology.org</w:t>
        </w:r>
      </w:hyperlink>
      <w:r w:rsidRPr="005D4F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October 2022</w:t>
      </w:r>
    </w:p>
    <w:p w14:paraId="3D0ED30B" w14:textId="002D4AFE" w:rsidR="005D4FFD" w:rsidRPr="000963D7" w:rsidRDefault="009F1713" w:rsidP="000963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F1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Farah, Warrick, ed. (2021). </w:t>
      </w:r>
      <w:r w:rsidRPr="009F171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Motus Dei:</w:t>
      </w:r>
      <w:r w:rsidRPr="009F17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Movement of God to Disciple the Nations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1611">
        <w:rPr>
          <w:rFonts w:ascii="Times New Roman" w:hAnsi="Times New Roman" w:cs="Times New Roman"/>
          <w:sz w:val="24"/>
          <w:szCs w:val="24"/>
          <w:lang w:val="en-US"/>
        </w:rPr>
        <w:t xml:space="preserve"> William Carey Publ</w:t>
      </w:r>
      <w:r w:rsidR="001A1611" w:rsidRPr="000963D7">
        <w:rPr>
          <w:rFonts w:ascii="Times New Roman" w:hAnsi="Times New Roman" w:cs="Times New Roman"/>
          <w:sz w:val="24"/>
          <w:szCs w:val="24"/>
          <w:lang w:val="en-US"/>
        </w:rPr>
        <w:t xml:space="preserve">ishing, 376 pp., $26.99 paperback, $9.99 e-book, </w:t>
      </w:r>
      <w:r w:rsidR="000963D7" w:rsidRPr="000963D7">
        <w:rPr>
          <w:rFonts w:ascii="Times New Roman" w:hAnsi="Times New Roman" w:cs="Times New Roman"/>
          <w:sz w:val="24"/>
          <w:szCs w:val="24"/>
          <w:lang w:val="en-US"/>
        </w:rPr>
        <w:t xml:space="preserve">ISBN: 9781645083481, </w:t>
      </w:r>
      <w:r w:rsidR="000963D7" w:rsidRPr="00096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1645083489.</w:t>
      </w:r>
    </w:p>
    <w:p w14:paraId="715145D5" w14:textId="4E2CC009" w:rsidR="009B1BD7" w:rsidRPr="005D4FFD" w:rsidRDefault="00CC3F89" w:rsidP="005D4FF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63D7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</w:t>
      </w:r>
      <w:r w:rsidRPr="005D4FFD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</w:p>
    <w:p w14:paraId="162E334D" w14:textId="4573275E" w:rsidR="009B1BD7" w:rsidRPr="005D4FFD" w:rsidRDefault="009B1BD7" w:rsidP="005D4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Motus Dei: The Movement of God to Disciple the </w:t>
      </w:r>
      <w:r w:rsidR="000F2845"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>ation</w:t>
      </w:r>
      <w:r w:rsidR="000F2845"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33F" w:rsidRPr="005D4FFD">
        <w:rPr>
          <w:rFonts w:ascii="Times New Roman" w:hAnsi="Times New Roman" w:cs="Times New Roman"/>
          <w:sz w:val="24"/>
          <w:szCs w:val="24"/>
          <w:lang w:val="en-US"/>
        </w:rPr>
        <w:t>wa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 edited by Warrick Farah and published by William Carey </w:t>
      </w:r>
      <w:r w:rsidR="000F2845" w:rsidRPr="005D4FF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ublishing. </w:t>
      </w:r>
      <w:r w:rsidR="008117C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David Coles, James Lucas, and Jonathan Andrews </w:t>
      </w:r>
      <w:r w:rsidR="00D8333F" w:rsidRPr="005D4FFD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8117C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2845" w:rsidRPr="005D4FF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17C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ssociate </w:t>
      </w:r>
      <w:r w:rsidR="000F2845" w:rsidRPr="005D4F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117C2" w:rsidRPr="005D4FFD">
        <w:rPr>
          <w:rFonts w:ascii="Times New Roman" w:hAnsi="Times New Roman" w:cs="Times New Roman"/>
          <w:sz w:val="24"/>
          <w:szCs w:val="24"/>
          <w:lang w:val="en-US"/>
        </w:rPr>
        <w:t>ditors. Th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8333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compiled volume</w:t>
      </w:r>
      <w:r w:rsidR="008117C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has five parts and 22 chapters.</w:t>
      </w:r>
      <w:r w:rsidR="002A2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It is a compendium </w:t>
      </w:r>
      <w:r w:rsidR="00931CF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8333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investigates and documents </w:t>
      </w:r>
      <w:r w:rsidR="002A2952" w:rsidRPr="005D4FFD">
        <w:rPr>
          <w:rFonts w:ascii="Times New Roman" w:hAnsi="Times New Roman" w:cs="Times New Roman"/>
          <w:sz w:val="24"/>
          <w:szCs w:val="24"/>
          <w:lang w:val="en-US"/>
        </w:rPr>
        <w:t>how God is using movements to advance Christ’s kingdom</w:t>
      </w:r>
      <w:r w:rsidR="00D8333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across the world</w:t>
      </w:r>
      <w:r w:rsidR="002A2952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writers</w:t>
      </w:r>
      <w:r w:rsidR="004046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acknowledge b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046AD" w:rsidRPr="005D4FFD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CF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part of 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8202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>learning community</w:t>
      </w:r>
      <w:r w:rsidR="0018202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02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0384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1820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1CF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4046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continue to 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exist some </w:t>
      </w:r>
      <w:r w:rsidR="0018202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76FBB" w:rsidRPr="005D4FFD">
        <w:rPr>
          <w:rFonts w:ascii="Times New Roman" w:hAnsi="Times New Roman" w:cs="Times New Roman"/>
          <w:sz w:val="24"/>
          <w:szCs w:val="24"/>
          <w:lang w:val="en-US"/>
        </w:rPr>
        <w:t>tensions and contradictions</w:t>
      </w:r>
      <w:r w:rsidR="0018202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76F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02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0384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1820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6F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in their perspectives. </w:t>
      </w:r>
    </w:p>
    <w:p w14:paraId="25B3EB28" w14:textId="26C700EE" w:rsidR="004D78BE" w:rsidRPr="005D4FFD" w:rsidRDefault="004046AD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>This useful volume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present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research findings o</w:t>
      </w:r>
      <w:r w:rsidR="00931CF2" w:rsidRPr="005D4F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movements of God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n the last 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725F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931CF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31CF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covers 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31CF2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400 movements </w:t>
      </w:r>
      <w:r w:rsidR="00D8333F" w:rsidRPr="005D4FFD">
        <w:rPr>
          <w:rFonts w:ascii="Times New Roman" w:hAnsi="Times New Roman" w:cs="Times New Roman"/>
          <w:sz w:val="24"/>
          <w:szCs w:val="24"/>
          <w:lang w:val="en-US"/>
        </w:rPr>
        <w:t>that have led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to the formation of 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0725F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>million disciples</w:t>
      </w:r>
      <w:r w:rsidR="00931CF2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primarily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among unreached people groups (UPG</w:t>
      </w:r>
      <w:r w:rsidR="00D8333F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1CF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FF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>Asia, Africa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African 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>diaspora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Europe.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These disciples constitute one percent 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global population of</w:t>
      </w:r>
      <w:r w:rsidR="009D650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7.8 billion.</w:t>
      </w:r>
      <w:r w:rsidR="004D78B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7D4188" w14:textId="5FFC750C" w:rsidR="00CC3F89" w:rsidRPr="005D4FFD" w:rsidRDefault="00D8333F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>Motus Dei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, meaning t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he movement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God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can take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many names: Disciple Making Movement, Kingdom Movement, People Movement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Church planting Movement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>, to name a few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2735E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missional term of 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colonial </w:t>
      </w:r>
      <w:r w:rsidR="002735EB" w:rsidRPr="005D4FFD">
        <w:rPr>
          <w:rFonts w:ascii="Times New Roman" w:hAnsi="Times New Roman" w:cs="Times New Roman"/>
          <w:sz w:val="24"/>
          <w:szCs w:val="24"/>
          <w:lang w:val="en-US"/>
        </w:rPr>
        <w:t>days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Mass Movement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as termed by 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Waskom Pickett)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is not used. 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conversation 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movement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s”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is ongoing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and is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in the process of maturing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, even as its </w:t>
      </w:r>
      <w:r w:rsidR="002735EB" w:rsidRPr="005D4FFD">
        <w:rPr>
          <w:rFonts w:ascii="Times New Roman" w:hAnsi="Times New Roman" w:cs="Times New Roman"/>
          <w:sz w:val="24"/>
          <w:szCs w:val="24"/>
          <w:lang w:val="en-US"/>
        </w:rPr>
        <w:t>defin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>ition continues to evolve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. When we examine movement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, no single person or theory 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sufficiently 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answer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>the question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around it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It is 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137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collective work of </w:t>
      </w:r>
      <w:r w:rsidR="008117C2" w:rsidRPr="005D4FFD">
        <w:rPr>
          <w:rFonts w:ascii="Times New Roman" w:hAnsi="Times New Roman" w:cs="Times New Roman"/>
          <w:sz w:val="24"/>
          <w:szCs w:val="24"/>
          <w:lang w:val="en-US"/>
        </w:rPr>
        <w:t>God’s people</w:t>
      </w:r>
      <w:r w:rsidR="007345BD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17C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with God. 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volume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in a way, 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embodies the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characteristics of the 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movement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itself—</w:t>
      </w:r>
      <w:r w:rsidR="000028C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17C2" w:rsidRPr="005D4FFD">
        <w:rPr>
          <w:rFonts w:ascii="Times New Roman" w:hAnsi="Times New Roman" w:cs="Times New Roman"/>
          <w:sz w:val="24"/>
          <w:szCs w:val="24"/>
          <w:lang w:val="en-US"/>
        </w:rPr>
        <w:t>learning together, and moving together with God.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Several of t</w:t>
      </w:r>
      <w:r w:rsidR="008020B3" w:rsidRPr="005D4FFD">
        <w:rPr>
          <w:rFonts w:ascii="Times New Roman" w:hAnsi="Times New Roman" w:cs="Times New Roman"/>
          <w:sz w:val="24"/>
          <w:szCs w:val="24"/>
          <w:lang w:val="en-US"/>
        </w:rPr>
        <w:t>he researched movements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place imp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ortance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on the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>household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92993"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>oikos)</w:t>
      </w:r>
      <w:r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="00B92993"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>generation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church planting (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>one church plant lead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>to the other)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>person of peace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initiation</w:t>
      </w:r>
      <w:r w:rsidR="00B929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process.</w:t>
      </w:r>
    </w:p>
    <w:p w14:paraId="26B569C0" w14:textId="0D66D042" w:rsidR="00CC3F89" w:rsidRPr="005D4FFD" w:rsidRDefault="00CC3F89" w:rsidP="005D4FF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b/>
          <w:bCs/>
          <w:sz w:val="24"/>
          <w:szCs w:val="24"/>
          <w:lang w:val="en-US"/>
        </w:rPr>
        <w:t>Summary</w:t>
      </w:r>
    </w:p>
    <w:p w14:paraId="18DBCA81" w14:textId="7D1882D5" w:rsidR="00537879" w:rsidRPr="005D4FFD" w:rsidRDefault="00B76FBB" w:rsidP="005D4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Warrick Farah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speaks of Motus Dei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the context of the world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, pointing out that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world’s unevangelized population grows by around </w:t>
      </w:r>
      <w:r w:rsidR="000725F8">
        <w:rPr>
          <w:rFonts w:ascii="Times New Roman" w:hAnsi="Times New Roman" w:cs="Times New Roman"/>
          <w:sz w:val="24"/>
          <w:szCs w:val="24"/>
          <w:lang w:val="en-US"/>
        </w:rPr>
        <w:t>70,000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people every day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, contributing to the massive expansion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of the global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unreached population year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on year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4DC6" w:rsidRPr="005D4FFD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0B292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traces the early church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0B292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history and finds</w:t>
      </w:r>
      <w:r w:rsidR="008E573C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0B292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Motus Dei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has not always flourished—</w:t>
      </w:r>
      <w:r w:rsidR="00A77C7F" w:rsidRPr="005D4FFD">
        <w:rPr>
          <w:rFonts w:ascii="Times New Roman" w:hAnsi="Times New Roman" w:cs="Times New Roman"/>
          <w:sz w:val="24"/>
          <w:szCs w:val="24"/>
          <w:lang w:val="en-US"/>
        </w:rPr>
        <w:t>in some instances</w:t>
      </w:r>
      <w:r w:rsidR="000B292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0B2923" w:rsidRPr="005D4FFD">
        <w:rPr>
          <w:rFonts w:ascii="Times New Roman" w:hAnsi="Times New Roman" w:cs="Times New Roman"/>
          <w:sz w:val="24"/>
          <w:szCs w:val="24"/>
          <w:lang w:val="en-US"/>
        </w:rPr>
        <w:t>decline</w:t>
      </w:r>
      <w:r w:rsidR="00A77C7F" w:rsidRPr="005D4F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over time</w:t>
      </w:r>
      <w:r w:rsidR="00A77C7F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B292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and in some cases completely died</w:t>
      </w:r>
      <w:r w:rsidR="00A77C7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0B2923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4DC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37879" w:rsidRPr="005D4FFD">
        <w:rPr>
          <w:rFonts w:ascii="Times New Roman" w:hAnsi="Times New Roman" w:cs="Times New Roman"/>
          <w:sz w:val="24"/>
          <w:szCs w:val="24"/>
          <w:lang w:val="en-US"/>
        </w:rPr>
        <w:t>arly movement</w:t>
      </w:r>
      <w:r w:rsidR="00A77C7F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3787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were not characterized by </w:t>
      </w:r>
      <w:r w:rsidR="007F380D" w:rsidRPr="005D4FFD">
        <w:rPr>
          <w:rFonts w:ascii="Times New Roman" w:hAnsi="Times New Roman" w:cs="Times New Roman"/>
          <w:sz w:val="24"/>
          <w:szCs w:val="24"/>
          <w:lang w:val="en-US"/>
        </w:rPr>
        <w:t>organized evangelism and church multiplication strategies but a Christ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F380D" w:rsidRPr="005D4FFD">
        <w:rPr>
          <w:rFonts w:ascii="Times New Roman" w:hAnsi="Times New Roman" w:cs="Times New Roman"/>
          <w:sz w:val="24"/>
          <w:szCs w:val="24"/>
          <w:lang w:val="en-US"/>
        </w:rPr>
        <w:t>like, counter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F380D" w:rsidRPr="005D4FFD">
        <w:rPr>
          <w:rFonts w:ascii="Times New Roman" w:hAnsi="Times New Roman" w:cs="Times New Roman"/>
          <w:sz w:val="24"/>
          <w:szCs w:val="24"/>
          <w:lang w:val="en-US"/>
        </w:rPr>
        <w:t>cultural lifestyle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against</w:t>
      </w:r>
      <w:r w:rsidR="007F380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context of suffering and persecution. </w:t>
      </w:r>
      <w:r w:rsidR="00FD4DC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These movements are known for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transcending</w:t>
      </w:r>
      <w:r w:rsidR="00FD4DC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boundaries and uni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fy</w:t>
      </w:r>
      <w:r w:rsidR="00FD4DC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4DC6" w:rsidRPr="005D4FFD">
        <w:rPr>
          <w:rFonts w:ascii="Times New Roman" w:hAnsi="Times New Roman" w:cs="Times New Roman"/>
          <w:sz w:val="24"/>
          <w:szCs w:val="24"/>
          <w:lang w:val="en-US"/>
        </w:rPr>
        <w:t>divers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77C7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he author 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advocate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bookmarkStart w:id="0" w:name="_Hlk111821266"/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>unlearn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>iblical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doctrines, traditions</w:t>
      </w:r>
      <w:r w:rsidR="00E24DBB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practices, that 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picked up 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way</w:t>
      </w:r>
      <w:r w:rsidR="00FD4DC6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F380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To facilitate 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F380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movement, new believers should 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be able to </w:t>
      </w:r>
      <w:r w:rsidR="007F380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remain within their </w:t>
      </w:r>
      <w:r w:rsidR="00116E3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pre-conversion </w:t>
      </w:r>
      <w:r w:rsidR="007F380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social </w:t>
      </w:r>
      <w:proofErr w:type="gramStart"/>
      <w:r w:rsidR="007F380D" w:rsidRPr="005D4FFD">
        <w:rPr>
          <w:rFonts w:ascii="Times New Roman" w:hAnsi="Times New Roman" w:cs="Times New Roman"/>
          <w:sz w:val="24"/>
          <w:szCs w:val="24"/>
          <w:lang w:val="en-US"/>
        </w:rPr>
        <w:t>context,</w:t>
      </w:r>
      <w:r w:rsidR="00450D91" w:rsidDel="00450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F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emergence of the 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>church must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reflect its </w:t>
      </w:r>
      <w:r w:rsidR="00604FA9" w:rsidRPr="005D4FFD">
        <w:rPr>
          <w:rFonts w:ascii="Times New Roman" w:hAnsi="Times New Roman" w:cs="Times New Roman"/>
          <w:sz w:val="24"/>
          <w:szCs w:val="24"/>
          <w:lang w:val="en-US"/>
        </w:rPr>
        <w:t>locat</w:t>
      </w:r>
      <w:r w:rsidR="00604FA9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604FA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within a particular 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cultural 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>framework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778A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However, discipleship is necessary in these </w:t>
      </w:r>
      <w:proofErr w:type="gramStart"/>
      <w:r w:rsidR="004778A9" w:rsidRPr="005D4FFD">
        <w:rPr>
          <w:rFonts w:ascii="Times New Roman" w:hAnsi="Times New Roman" w:cs="Times New Roman"/>
          <w:sz w:val="24"/>
          <w:szCs w:val="24"/>
          <w:lang w:val="en-US"/>
        </w:rPr>
        <w:t>movements</w:t>
      </w:r>
      <w:proofErr w:type="gramEnd"/>
      <w:r w:rsidR="004778A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it consists of </w:t>
      </w:r>
      <w:r w:rsidR="00604FA9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4778A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Orthodoxy (correct belief), Orthopraxy (correct behavior) and Orthopathy (correct </w:t>
      </w:r>
      <w:r w:rsidR="004778A9" w:rsidRPr="005D4FFD">
        <w:rPr>
          <w:rFonts w:ascii="Times New Roman" w:hAnsi="Times New Roman" w:cs="Times New Roman"/>
          <w:sz w:val="24"/>
          <w:szCs w:val="24"/>
          <w:lang w:val="en-US"/>
        </w:rPr>
        <w:lastRenderedPageBreak/>
        <w:t>feeling)</w:t>
      </w:r>
      <w:r w:rsidR="00604FA9">
        <w:rPr>
          <w:rFonts w:ascii="Times New Roman" w:hAnsi="Times New Roman" w:cs="Times New Roman"/>
          <w:sz w:val="24"/>
          <w:szCs w:val="24"/>
          <w:lang w:val="en-US"/>
        </w:rPr>
        <w:t>” (</w:t>
      </w:r>
      <w:r w:rsidR="00391EBB">
        <w:rPr>
          <w:rFonts w:ascii="Times New Roman" w:hAnsi="Times New Roman" w:cs="Times New Roman"/>
          <w:sz w:val="24"/>
          <w:szCs w:val="24"/>
          <w:lang w:val="en-US"/>
        </w:rPr>
        <w:t>51</w:t>
      </w:r>
      <w:r w:rsidR="00604FA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78A9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6E3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In this process,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6E3D" w:rsidRPr="005D4FFD">
        <w:rPr>
          <w:rFonts w:ascii="Times New Roman" w:hAnsi="Times New Roman" w:cs="Times New Roman"/>
          <w:sz w:val="24"/>
          <w:szCs w:val="24"/>
          <w:lang w:val="en-US"/>
        </w:rPr>
        <w:t>context and traditional ecclesiology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must remain</w:t>
      </w:r>
      <w:r w:rsidR="00116E3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in creative tension. Farah</w:t>
      </w:r>
      <w:r w:rsidR="00A77C7F" w:rsidRPr="005D4FF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0479A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16E3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research is </w:t>
      </w:r>
      <w:r w:rsidR="00604FA9">
        <w:rPr>
          <w:rFonts w:ascii="Times New Roman" w:hAnsi="Times New Roman" w:cs="Times New Roman"/>
          <w:sz w:val="24"/>
          <w:szCs w:val="24"/>
          <w:lang w:val="en-US"/>
        </w:rPr>
        <w:t>quite</w:t>
      </w:r>
      <w:r w:rsidR="00604FA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6E3D" w:rsidRPr="005D4FFD">
        <w:rPr>
          <w:rFonts w:ascii="Times New Roman" w:hAnsi="Times New Roman" w:cs="Times New Roman"/>
          <w:sz w:val="24"/>
          <w:szCs w:val="24"/>
          <w:lang w:val="en-US"/>
        </w:rPr>
        <w:t>extensive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well</w:t>
      </w:r>
      <w:r w:rsidR="00604F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>done</w:t>
      </w:r>
      <w:r w:rsidR="00E1689A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AEAB0A" w14:textId="6A5310B7" w:rsidR="00254F0C" w:rsidRPr="005D4FFD" w:rsidRDefault="00E1689A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Samuel Kebreab </w:t>
      </w:r>
      <w:r w:rsidR="000F6343" w:rsidRPr="005D4FFD">
        <w:rPr>
          <w:rFonts w:ascii="Times New Roman" w:hAnsi="Times New Roman" w:cs="Times New Roman"/>
          <w:sz w:val="24"/>
          <w:szCs w:val="24"/>
          <w:lang w:val="en-US"/>
        </w:rPr>
        <w:t>presents the Motus Dei in Africa among the Yoma people. By learning the principles of Motus Dei, Kebreab bounced from a discourag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F634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situation to 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>seeing 5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>672 Christ-followers from 364 villages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reaching people</w:t>
      </w:r>
      <w:r w:rsidR="00604FA9">
        <w:rPr>
          <w:rFonts w:ascii="Times New Roman" w:hAnsi="Times New Roman" w:cs="Times New Roman"/>
          <w:sz w:val="24"/>
          <w:szCs w:val="24"/>
          <w:lang w:val="en-US"/>
        </w:rPr>
        <w:t xml:space="preserve"> previously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>unreached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” by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>unengaged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gospel. According to </w:t>
      </w:r>
      <w:r w:rsidR="00C44CBB">
        <w:rPr>
          <w:rFonts w:ascii="Times New Roman" w:hAnsi="Times New Roman" w:cs="Times New Roman"/>
          <w:sz w:val="24"/>
          <w:szCs w:val="24"/>
          <w:lang w:val="en-US"/>
        </w:rPr>
        <w:t>Kebreab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: i) 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iraculous signs are important, ii)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rdinary people need to be used, iii)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one’s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be holistic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love, compassion, healing, 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deliverance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must also be complemented with 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>clean water, providing seeds, better health, better education</w:t>
      </w:r>
      <w:r w:rsidR="00C44CB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skill development,</w:t>
      </w:r>
      <w:r w:rsidR="00C44CB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iv)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ompassion ministry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allows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access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43CD" w:rsidRPr="005D4FFD">
        <w:rPr>
          <w:rFonts w:ascii="Times New Roman" w:hAnsi="Times New Roman" w:cs="Times New Roman"/>
          <w:sz w:val="24"/>
          <w:szCs w:val="24"/>
          <w:lang w:val="en-US"/>
        </w:rPr>
        <w:t>communities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. He states these practices are not only effective but also in</w:t>
      </w:r>
      <w:r w:rsidR="00530B4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expensive. </w:t>
      </w:r>
    </w:p>
    <w:p w14:paraId="250B42ED" w14:textId="1D16A336" w:rsidR="00530B40" w:rsidRPr="005D4FFD" w:rsidRDefault="00530B40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David Coles discusses eight theological and missiological objections </w:t>
      </w:r>
      <w:r w:rsidR="002356E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the general populace</w:t>
      </w:r>
      <w:r w:rsidR="002356E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r w:rsidR="006A2FEC" w:rsidRPr="005D4FF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otus </w:t>
      </w:r>
      <w:r w:rsidR="006A2FEC" w:rsidRPr="005D4F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ei. </w:t>
      </w:r>
      <w:r w:rsidR="006A2FE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>addresses</w:t>
      </w:r>
      <w:r w:rsidR="006A2FE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these objections in the light of scripture, mission history</w:t>
      </w:r>
      <w:r w:rsidR="00C44CB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A2FE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contemporary missiological trends. God’s kingdom is advancing among the least reached groups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, and th</w:t>
      </w:r>
      <w:r w:rsidR="006A2FE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ose who profess the faith are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A2FE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beginning to proclaim the gospel. </w:t>
      </w:r>
      <w:r w:rsidR="00D171A5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254F0C" w:rsidRPr="005D4FF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D171A5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will tell how these movements will reflect God’s kingdom.</w:t>
      </w:r>
    </w:p>
    <w:p w14:paraId="2C01DE6E" w14:textId="0FB536C4" w:rsidR="00254F0C" w:rsidRPr="005D4FFD" w:rsidRDefault="00254F0C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Gene Daniels speaks of </w:t>
      </w:r>
      <w:r w:rsidR="00CC3F89" w:rsidRPr="005D4FFD">
        <w:rPr>
          <w:rFonts w:ascii="Times New Roman" w:hAnsi="Times New Roman" w:cs="Times New Roman"/>
          <w:sz w:val="24"/>
          <w:szCs w:val="24"/>
          <w:lang w:val="en-US"/>
        </w:rPr>
        <w:t>Kingdom Movements among Muslims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, w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hi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pos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challenge to researchers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in terms of verifiability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Daniels employs the example of early church movements and 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growth of Christianity in China—both of which remain unverifiable—to inspire trust in the movement among Muslims. </w:t>
      </w:r>
    </w:p>
    <w:p w14:paraId="0E438A4C" w14:textId="3602C177" w:rsidR="00B60A53" w:rsidRPr="005D4FFD" w:rsidRDefault="00D60EBB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>Justin D</w:t>
      </w:r>
      <w:r w:rsidR="004402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Long addresse</w:t>
      </w:r>
      <w:r w:rsidR="000E0083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question of how we can</w:t>
      </w:r>
      <w:r w:rsidR="00B60A5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count movements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B60A5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analy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zing</w:t>
      </w:r>
      <w:r w:rsidR="00B60A5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United States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0A5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He counters accusations of an overcount of the number of movements in the U.S. and argues instead that the opposite may be true</w:t>
      </w:r>
      <w:r w:rsidR="00B60A53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D1077A" w14:textId="7B8ECFE9" w:rsidR="00B60A53" w:rsidRPr="005D4FFD" w:rsidRDefault="00A42E02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Part II provides the theological 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grounding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for movements. David S</w:t>
      </w:r>
      <w:r w:rsidR="004402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Lim claims that God’s plan is 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kingdomization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not 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Christianization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4402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91EBB">
        <w:rPr>
          <w:rFonts w:ascii="Times New Roman" w:hAnsi="Times New Roman" w:cs="Times New Roman"/>
          <w:sz w:val="24"/>
          <w:szCs w:val="24"/>
          <w:lang w:val="en-US"/>
        </w:rPr>
        <w:t>121</w:t>
      </w:r>
      <w:r w:rsidR="00440246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It can be </w:t>
      </w:r>
      <w:r w:rsidR="00D60EBB" w:rsidRPr="005D4FFD">
        <w:rPr>
          <w:rFonts w:ascii="Times New Roman" w:hAnsi="Times New Roman" w:cs="Times New Roman"/>
          <w:sz w:val="24"/>
          <w:szCs w:val="24"/>
          <w:lang w:val="en-US"/>
        </w:rPr>
        <w:t>achieved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by ordinary people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>without significant financial investment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>This is a response against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traditional,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>investment-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oriented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methods that employ </w:t>
      </w:r>
      <w:proofErr w:type="gramStart"/>
      <w:r w:rsidRPr="005D4FFD">
        <w:rPr>
          <w:rFonts w:ascii="Times New Roman" w:hAnsi="Times New Roman" w:cs="Times New Roman"/>
          <w:sz w:val="24"/>
          <w:szCs w:val="24"/>
          <w:lang w:val="en-US"/>
        </w:rPr>
        <w:t>highly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trained</w:t>
      </w:r>
      <w:proofErr w:type="gramEnd"/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missionar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53E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He identifie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E53E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six characteristics of such kingdomization movements.</w:t>
      </w:r>
      <w:r w:rsidR="00096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33EB30D" w14:textId="6FD062FF" w:rsidR="00801E13" w:rsidRPr="005D4FFD" w:rsidRDefault="007E53E0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>Craig Ott traces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theological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foundations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movements in the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book of Acts.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605" w:rsidRPr="005D4FF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ointing out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gospel spread rapidly, church</w:t>
      </w:r>
      <w:r w:rsidR="007A6E6B" w:rsidRPr="005D4FFD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were planted and grew, and whole regions were reached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>, Ott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suggests learning from these dynamics to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facilitate movements.</w:t>
      </w:r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iracles are necessary even today,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message and messenger </w:t>
      </w:r>
      <w:r w:rsidR="00A848FD" w:rsidRPr="005D4FFD">
        <w:rPr>
          <w:rFonts w:ascii="Times New Roman" w:hAnsi="Times New Roman" w:cs="Times New Roman"/>
          <w:sz w:val="24"/>
          <w:szCs w:val="24"/>
          <w:lang w:val="en-US"/>
        </w:rPr>
        <w:t>remain unchanged</w:t>
      </w:r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>. He presents four case studies: Jerusalem</w:t>
      </w:r>
      <w:r w:rsidR="004B66B9" w:rsidRPr="005D4FF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Judea, Samaria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Syria</w:t>
      </w:r>
      <w:r w:rsidR="004B66B9" w:rsidRPr="005D4FF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Pisidian Antioch</w:t>
      </w:r>
      <w:r w:rsidR="004B66B9" w:rsidRPr="005D4FF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Ephesus. There will be opposition and we </w:t>
      </w:r>
      <w:proofErr w:type="gramStart"/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>have to</w:t>
      </w:r>
      <w:proofErr w:type="gramEnd"/>
      <w:r w:rsidR="00801E1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face it.</w:t>
      </w:r>
    </w:p>
    <w:p w14:paraId="76E27D9A" w14:textId="4C143A7C" w:rsidR="00801E13" w:rsidRPr="005D4FFD" w:rsidRDefault="006E4FEE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Trevor Larsen identifies the </w:t>
      </w:r>
      <w:r w:rsidR="002C06D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patterns of Ekklesia Movements </w:t>
      </w:r>
      <w:proofErr w:type="gramStart"/>
      <w:r w:rsidR="002C06D6" w:rsidRPr="005D4FFD">
        <w:rPr>
          <w:rFonts w:ascii="Times New Roman" w:hAnsi="Times New Roman" w:cs="Times New Roman"/>
          <w:sz w:val="24"/>
          <w:szCs w:val="24"/>
          <w:lang w:val="en-US"/>
        </w:rPr>
        <w:t>on the basis of</w:t>
      </w:r>
      <w:proofErr w:type="gramEnd"/>
      <w:r w:rsidR="002C06D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C06D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New Testament.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Larsen examines t</w:t>
      </w:r>
      <w:r w:rsidR="002C06D6" w:rsidRPr="005D4FFD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C4032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birth and development through </w:t>
      </w:r>
      <w:r w:rsidR="002C06D6" w:rsidRPr="005D4FFD">
        <w:rPr>
          <w:rFonts w:ascii="Times New Roman" w:hAnsi="Times New Roman" w:cs="Times New Roman"/>
          <w:sz w:val="24"/>
          <w:szCs w:val="24"/>
          <w:lang w:val="en-US"/>
        </w:rPr>
        <w:t>three lenses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C06D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Jesus Band,</w:t>
      </w:r>
      <w:r w:rsidR="00C4032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Disciples’ communities of the spirit</w:t>
      </w:r>
      <w:r w:rsidR="007A6E6B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4032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social dynamics. </w:t>
      </w:r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underlying principle is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the “</w:t>
      </w:r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>imitation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of J</w:t>
      </w:r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>esus and Paul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91EBB">
        <w:rPr>
          <w:rFonts w:ascii="Times New Roman" w:hAnsi="Times New Roman" w:cs="Times New Roman"/>
          <w:sz w:val="24"/>
          <w:szCs w:val="24"/>
          <w:lang w:val="en-US"/>
        </w:rPr>
        <w:t>162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Ekklesia 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ovements are living, </w:t>
      </w:r>
      <w:proofErr w:type="gramStart"/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>growing</w:t>
      </w:r>
      <w:proofErr w:type="gramEnd"/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expanding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>hey are not static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1877D8" w:rsidRPr="005D4FFD">
        <w:rPr>
          <w:rFonts w:ascii="Times New Roman" w:hAnsi="Times New Roman" w:cs="Times New Roman"/>
          <w:sz w:val="24"/>
          <w:szCs w:val="24"/>
          <w:lang w:val="en-US"/>
        </w:rPr>
        <w:t>Jesus is building the Ekklesia.</w:t>
      </w:r>
      <w:r w:rsidR="00096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B93852" w14:textId="3C8A7482" w:rsidR="007E53E0" w:rsidRPr="005D4FFD" w:rsidRDefault="001877D8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Michael T. Copper discusses the basis for the first-century movements from the Johannine gospel. 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>Accordingly, t</w:t>
      </w:r>
      <w:r w:rsidR="0073076C" w:rsidRPr="005D4FFD">
        <w:rPr>
          <w:rFonts w:ascii="Times New Roman" w:hAnsi="Times New Roman" w:cs="Times New Roman"/>
          <w:sz w:val="24"/>
          <w:szCs w:val="24"/>
          <w:lang w:val="en-US"/>
        </w:rPr>
        <w:t>o see movements</w:t>
      </w:r>
      <w:r w:rsidR="006E4FE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happen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 xml:space="preserve"> today workers are to </w:t>
      </w:r>
      <w:r w:rsidR="0073076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pray, fast, use missiological exegesis (culture, history, </w:t>
      </w:r>
      <w:r w:rsidR="004B66B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3076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ethnic particularities), and connect Jesus to the culture. This 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73076C" w:rsidRPr="005D4FFD">
        <w:rPr>
          <w:rFonts w:ascii="Times New Roman" w:hAnsi="Times New Roman" w:cs="Times New Roman"/>
          <w:sz w:val="24"/>
          <w:szCs w:val="24"/>
          <w:lang w:val="en-US"/>
        </w:rPr>
        <w:t>will lead to indigenous church planting movements.</w:t>
      </w:r>
      <w:r w:rsidR="0005725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James Lucas 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05725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Luke-Acts narratives and discovers the stories of the 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057250" w:rsidRPr="005D4FFD">
        <w:rPr>
          <w:rFonts w:ascii="Times New Roman" w:hAnsi="Times New Roman" w:cs="Times New Roman"/>
          <w:sz w:val="24"/>
          <w:szCs w:val="24"/>
          <w:lang w:val="en-US"/>
        </w:rPr>
        <w:t>people of peace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E4BBE">
        <w:rPr>
          <w:rFonts w:ascii="Times New Roman" w:hAnsi="Times New Roman" w:cs="Times New Roman"/>
          <w:sz w:val="24"/>
          <w:szCs w:val="24"/>
          <w:lang w:val="en-US"/>
        </w:rPr>
        <w:t>199</w:t>
      </w:r>
      <w:r w:rsidR="00F83465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05725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250" w:rsidRPr="005D4FFD">
        <w:rPr>
          <w:rFonts w:ascii="Times New Roman" w:hAnsi="Times New Roman" w:cs="Times New Roman"/>
          <w:sz w:val="24"/>
          <w:szCs w:val="24"/>
          <w:lang w:val="en-US"/>
        </w:rPr>
        <w:t>house (</w:t>
      </w:r>
      <w:r w:rsidR="00057250"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>oikos</w:t>
      </w:r>
      <w:r w:rsidR="00057250" w:rsidRPr="005D4FFD">
        <w:rPr>
          <w:rFonts w:ascii="Times New Roman" w:hAnsi="Times New Roman" w:cs="Times New Roman"/>
          <w:sz w:val="24"/>
          <w:szCs w:val="24"/>
          <w:lang w:val="en-US"/>
        </w:rPr>
        <w:t>) plays a major role i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5725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reaching people and building momentum for movements.</w:t>
      </w:r>
      <w:r w:rsidR="00096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CFB651" w14:textId="7B9FC065" w:rsidR="000D36E6" w:rsidRPr="005D4FFD" w:rsidRDefault="00217B3E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Part III </w:t>
      </w:r>
      <w:r w:rsidR="009201E7">
        <w:rPr>
          <w:rFonts w:ascii="Times New Roman" w:hAnsi="Times New Roman" w:cs="Times New Roman"/>
          <w:sz w:val="24"/>
          <w:szCs w:val="24"/>
          <w:lang w:val="en-US"/>
        </w:rPr>
        <w:t>examin</w:t>
      </w:r>
      <w:r w:rsidR="009201E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dynamics of movements. Steve Addison studies the rationale 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rise and fall of movement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s,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trac</w:t>
      </w:r>
      <w:r w:rsidR="009201E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seven characteristics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201E7">
        <w:rPr>
          <w:rFonts w:ascii="Times New Roman" w:hAnsi="Times New Roman" w:cs="Times New Roman"/>
          <w:sz w:val="24"/>
          <w:szCs w:val="24"/>
          <w:lang w:val="en-US"/>
        </w:rPr>
        <w:t>A movement’s</w:t>
      </w:r>
      <w:r w:rsidR="009201E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rise </w:t>
      </w:r>
      <w:r w:rsidR="009201E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201E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fall 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>hinges on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our faithfulness to the core missionary task 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>assigned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to us.</w:t>
      </w:r>
      <w:r w:rsidR="00BF7165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Movements cannot stand still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—we must not be complacent in the face of </w:t>
      </w:r>
      <w:r w:rsidR="00BF7165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warning signs. Paul Arlund and Regina Foard </w:t>
      </w:r>
      <w:r w:rsidR="007A6E6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contend </w:t>
      </w:r>
      <w:r w:rsidR="00BF7165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that women play 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F7165" w:rsidRPr="005D4FFD">
        <w:rPr>
          <w:rFonts w:ascii="Times New Roman" w:hAnsi="Times New Roman" w:cs="Times New Roman"/>
          <w:sz w:val="24"/>
          <w:szCs w:val="24"/>
          <w:lang w:val="en-US"/>
        </w:rPr>
        <w:t>equal role in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F7165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multiplication of movements. 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BF7165" w:rsidRPr="005D4FFD">
        <w:rPr>
          <w:rFonts w:ascii="Times New Roman" w:hAnsi="Times New Roman" w:cs="Times New Roman"/>
          <w:sz w:val="24"/>
          <w:szCs w:val="24"/>
          <w:lang w:val="en-US"/>
        </w:rPr>
        <w:t>cultural intelligence</w:t>
      </w:r>
      <w:r w:rsidR="0082305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must be recognized, and they need to be involved in key decision-making processes. </w:t>
      </w:r>
      <w:r w:rsidR="008D4401" w:rsidRPr="005D4FFD">
        <w:rPr>
          <w:rFonts w:ascii="Times New Roman" w:hAnsi="Times New Roman" w:cs="Times New Roman"/>
          <w:sz w:val="24"/>
          <w:szCs w:val="24"/>
          <w:lang w:val="en-US"/>
        </w:rPr>
        <w:t>Women are igniting multiplication movement</w:t>
      </w:r>
      <w:r w:rsidR="008D4401" w:rsidRPr="007C4969">
        <w:rPr>
          <w:rFonts w:ascii="Times New Roman" w:hAnsi="Times New Roman" w:cs="Times New Roman"/>
          <w:sz w:val="24"/>
          <w:szCs w:val="24"/>
          <w:lang w:val="en-US"/>
        </w:rPr>
        <w:t xml:space="preserve">s and leading in those movements all over the world. Paul Kuivinen argues that </w:t>
      </w:r>
      <w:r w:rsidR="009201E7" w:rsidRPr="007C4969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8D4401" w:rsidRPr="007C4969">
        <w:rPr>
          <w:rFonts w:ascii="Times New Roman" w:hAnsi="Times New Roman" w:cs="Times New Roman"/>
          <w:sz w:val="24"/>
          <w:szCs w:val="24"/>
          <w:lang w:val="en-US"/>
        </w:rPr>
        <w:t>ethnodoxology</w:t>
      </w:r>
      <w:r w:rsidR="009201E7" w:rsidRPr="007C4969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Start"/>
      <w:r w:rsidR="005C6604" w:rsidRPr="007C496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4E4BBE" w:rsidRPr="007C496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4E4BBE" w:rsidRPr="007C4969">
        <w:rPr>
          <w:rFonts w:ascii="Times New Roman" w:hAnsi="Times New Roman" w:cs="Times New Roman"/>
          <w:sz w:val="24"/>
          <w:szCs w:val="24"/>
        </w:rPr>
        <w:t>the expression of ” as well as “the study of ” ethnic Scripture-based songs and other art forms</w:t>
      </w:r>
      <w:r w:rsidR="005C6604" w:rsidRPr="007C496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E4BBE" w:rsidRPr="007C4969">
        <w:rPr>
          <w:rFonts w:ascii="Times New Roman" w:hAnsi="Times New Roman" w:cs="Times New Roman"/>
          <w:sz w:val="24"/>
          <w:szCs w:val="24"/>
          <w:lang w:val="en-US"/>
        </w:rPr>
        <w:t>251</w:t>
      </w:r>
      <w:r w:rsidR="005C6604" w:rsidRPr="007C4969">
        <w:rPr>
          <w:rFonts w:ascii="Times New Roman" w:hAnsi="Times New Roman" w:cs="Times New Roman"/>
          <w:sz w:val="24"/>
          <w:szCs w:val="24"/>
          <w:lang w:val="en-US"/>
        </w:rPr>
        <w:t>)—</w:t>
      </w:r>
      <w:r w:rsidR="008D4401" w:rsidRPr="007C4969">
        <w:rPr>
          <w:rFonts w:ascii="Times New Roman" w:hAnsi="Times New Roman" w:cs="Times New Roman"/>
          <w:sz w:val="24"/>
          <w:szCs w:val="24"/>
          <w:lang w:val="en-US"/>
        </w:rPr>
        <w:t xml:space="preserve">plays an important role in the multiplication of movements. It </w:t>
      </w:r>
      <w:r w:rsidR="008C5BBC" w:rsidRPr="007C4969">
        <w:rPr>
          <w:rFonts w:ascii="Times New Roman" w:hAnsi="Times New Roman" w:cs="Times New Roman"/>
          <w:sz w:val="24"/>
          <w:szCs w:val="24"/>
          <w:lang w:val="en-US"/>
        </w:rPr>
        <w:t>helps along</w:t>
      </w:r>
      <w:r w:rsidR="008D4401" w:rsidRPr="007C4969">
        <w:rPr>
          <w:rFonts w:ascii="Times New Roman" w:hAnsi="Times New Roman" w:cs="Times New Roman"/>
          <w:sz w:val="24"/>
          <w:szCs w:val="24"/>
          <w:lang w:val="en-US"/>
        </w:rPr>
        <w:t xml:space="preserve"> mov</w:t>
      </w:r>
      <w:r w:rsidR="008D4401" w:rsidRPr="005D4FFD">
        <w:rPr>
          <w:rFonts w:ascii="Times New Roman" w:hAnsi="Times New Roman" w:cs="Times New Roman"/>
          <w:sz w:val="24"/>
          <w:szCs w:val="24"/>
          <w:lang w:val="en-US"/>
        </w:rPr>
        <w:t>ement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D440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among oral learners 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engages the </w:t>
      </w:r>
      <w:r w:rsidR="008D4401" w:rsidRPr="005D4FFD">
        <w:rPr>
          <w:rFonts w:ascii="Times New Roman" w:hAnsi="Times New Roman" w:cs="Times New Roman"/>
          <w:sz w:val="24"/>
          <w:szCs w:val="24"/>
          <w:lang w:val="en-US"/>
        </w:rPr>
        <w:t>culture, language</w:t>
      </w:r>
      <w:r w:rsidR="005C66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440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history of people. </w:t>
      </w:r>
      <w:r w:rsidR="0019547C">
        <w:rPr>
          <w:rFonts w:ascii="Times New Roman" w:hAnsi="Times New Roman" w:cs="Times New Roman"/>
          <w:sz w:val="24"/>
          <w:szCs w:val="24"/>
          <w:lang w:val="en-US"/>
        </w:rPr>
        <w:t>Ethondoxology (261)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does not alienate anybody. It may not initiate a movement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>will help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existing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movement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Frank Preston emphasizes the m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edia 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gramStart"/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valuable 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>asset</w:t>
      </w:r>
      <w:proofErr w:type="gramEnd"/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605" w:rsidRPr="005D4FF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church planting. John Wesley</w:t>
      </w:r>
      <w:r w:rsidR="000501C4" w:rsidRPr="005D4FFD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Methodist movement 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 built on the 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>seventeenth-</w:t>
      </w:r>
      <w:r w:rsidR="009B2D57" w:rsidRPr="005D4FFD">
        <w:rPr>
          <w:rFonts w:ascii="Times New Roman" w:hAnsi="Times New Roman" w:cs="Times New Roman"/>
          <w:sz w:val="24"/>
          <w:szCs w:val="24"/>
          <w:lang w:val="en-US"/>
        </w:rPr>
        <w:t>century usage of media.</w:t>
      </w:r>
      <w:r w:rsidR="000D36E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Media has 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0D36E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been put to great use during 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 xml:space="preserve">Covid </w:t>
      </w:r>
      <w:r w:rsidR="000D36E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pandemic. The key here is to use </w:t>
      </w:r>
      <w:r w:rsidR="000501C4" w:rsidRPr="005D4FFD">
        <w:rPr>
          <w:rFonts w:ascii="Times New Roman" w:hAnsi="Times New Roman" w:cs="Times New Roman"/>
          <w:sz w:val="24"/>
          <w:szCs w:val="24"/>
          <w:lang w:val="en-US"/>
        </w:rPr>
        <w:t>media personnel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>, who constitute a form of</w:t>
      </w:r>
      <w:r w:rsidR="000501C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6E6" w:rsidRPr="005D4FFD">
        <w:rPr>
          <w:rFonts w:ascii="Times New Roman" w:hAnsi="Times New Roman" w:cs="Times New Roman"/>
          <w:sz w:val="24"/>
          <w:szCs w:val="24"/>
          <w:lang w:val="en-US"/>
        </w:rPr>
        <w:t>lay leadership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D36E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to build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6E6" w:rsidRPr="005D4FFD">
        <w:rPr>
          <w:rFonts w:ascii="Times New Roman" w:hAnsi="Times New Roman" w:cs="Times New Roman"/>
          <w:sz w:val="24"/>
          <w:szCs w:val="24"/>
          <w:lang w:val="en-US"/>
        </w:rPr>
        <w:t>momentum</w:t>
      </w:r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Bradley Cocanower and Joao Mordomo’ s work on North African migrants and asylum seekers to Europe employs the term “Terra Nova” (meaning “new land”) in referring to the nearly two million-strong </w:t>
      </w:r>
      <w:proofErr w:type="gramStart"/>
      <w:r w:rsidR="008C5BBC" w:rsidRPr="005D4FFD">
        <w:rPr>
          <w:rFonts w:ascii="Times New Roman" w:hAnsi="Times New Roman" w:cs="Times New Roman"/>
          <w:sz w:val="24"/>
          <w:szCs w:val="24"/>
          <w:lang w:val="en-US"/>
        </w:rPr>
        <w:t>diaspora</w:t>
      </w:r>
      <w:proofErr w:type="gramEnd"/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. They</w:t>
      </w:r>
      <w:r w:rsidR="000D36E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reiterate that we can see movements of God</w:t>
      </w:r>
      <w:r w:rsidR="00BC538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when we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605" w:rsidRPr="005D4FFD">
        <w:rPr>
          <w:rFonts w:ascii="Times New Roman" w:hAnsi="Times New Roman" w:cs="Times New Roman"/>
          <w:sz w:val="24"/>
          <w:szCs w:val="24"/>
          <w:lang w:val="en-US"/>
        </w:rPr>
        <w:t>recognize that we are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BC538A" w:rsidRPr="005D4FFD">
        <w:rPr>
          <w:rFonts w:ascii="Times New Roman" w:hAnsi="Times New Roman" w:cs="Times New Roman"/>
          <w:sz w:val="24"/>
          <w:szCs w:val="24"/>
          <w:lang w:val="en-US"/>
        </w:rPr>
        <w:t>blessed to be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C538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blessing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A69B0">
        <w:rPr>
          <w:rFonts w:ascii="Times New Roman" w:hAnsi="Times New Roman" w:cs="Times New Roman"/>
          <w:sz w:val="24"/>
          <w:szCs w:val="24"/>
          <w:lang w:val="en-US"/>
        </w:rPr>
        <w:t>285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0D36E6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1129DC" w14:textId="54CDF9A9" w:rsidR="00C571DC" w:rsidRPr="005D4FFD" w:rsidRDefault="00BC538A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V lists case studies of movements from Kenya, India, </w:t>
      </w:r>
      <w:r w:rsidR="00A121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Thailand</w:t>
      </w:r>
      <w:r w:rsidR="00A121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The case study of Kenya is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A121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interesting.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Aila Tasse and L Michael Corley discover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that in East Africa 12,555 churches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planted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271,695 disciples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reached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within a short span of 15 years. Victor John and Dave Coles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stud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>ied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>the Bhojpuri people in India. Signs, wonders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miracles are key,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>though the focus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must remain on</w:t>
      </w:r>
      <w:r w:rsidR="002B7FD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gospel preaching. 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John and Coles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suggest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C34CE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the normative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>payment and titles of ministry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” can hinder movements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9547C">
        <w:rPr>
          <w:rFonts w:ascii="Times New Roman" w:hAnsi="Times New Roman" w:cs="Times New Roman"/>
          <w:sz w:val="24"/>
          <w:szCs w:val="24"/>
          <w:lang w:val="en-US"/>
        </w:rPr>
        <w:t>326</w:t>
      </w:r>
      <w:r w:rsidR="007C4CB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>. The study of movements among Thai Buddhists</w:t>
      </w:r>
      <w:r w:rsidR="00244F26" w:rsidRPr="005D4FF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where we </w:t>
      </w:r>
      <w:r w:rsidR="00244F26">
        <w:rPr>
          <w:rFonts w:ascii="Times New Roman" w:hAnsi="Times New Roman" w:cs="Times New Roman"/>
          <w:sz w:val="24"/>
          <w:szCs w:val="24"/>
          <w:lang w:val="en-US"/>
        </w:rPr>
        <w:t xml:space="preserve">might 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>least expect a movement to take place</w:t>
      </w:r>
      <w:r w:rsidR="00244F26" w:rsidRPr="005D4FFD">
        <w:rPr>
          <w:rFonts w:ascii="Times New Roman" w:hAnsi="Times New Roman" w:cs="Times New Roman"/>
          <w:sz w:val="24"/>
          <w:szCs w:val="24"/>
          <w:lang w:val="en-US"/>
        </w:rPr>
        <w:t>—is quite fascinating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>. Stephen Bailey, Dwight Martin</w:t>
      </w:r>
      <w:r w:rsidR="008101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101D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astor Somsak have facilitated the movement with ordinary believers and simple methods. They did not find traditional western Christian practices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to be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 obstacle</w:t>
      </w:r>
      <w:r w:rsidR="008101D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however, they do not force people to come to church. The</w:t>
      </w:r>
      <w:r w:rsidR="00244F26">
        <w:rPr>
          <w:rFonts w:ascii="Times New Roman" w:hAnsi="Times New Roman" w:cs="Times New Roman"/>
          <w:sz w:val="24"/>
          <w:szCs w:val="24"/>
          <w:lang w:val="en-US"/>
        </w:rPr>
        <w:t xml:space="preserve"> indigenous believers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are given freedom to decide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34F93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cultural practice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s, including 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>ancestral rituals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religious practices. </w:t>
      </w:r>
      <w:r w:rsidR="00244F26">
        <w:rPr>
          <w:rFonts w:ascii="Times New Roman" w:hAnsi="Times New Roman" w:cs="Times New Roman"/>
          <w:sz w:val="24"/>
          <w:szCs w:val="24"/>
          <w:lang w:val="en-US"/>
        </w:rPr>
        <w:t xml:space="preserve">In Algeria and Iran, 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80 movements were identified </w:t>
      </w:r>
      <w:r w:rsidR="00C34CE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>Rania Mostofi and Patrick Brittenden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>. H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owever, they also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recognize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that second generation Christians are struggling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215F9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face </w:t>
      </w:r>
      <w:r w:rsidR="00C571D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difficulty in taking this momentum forward. </w:t>
      </w:r>
    </w:p>
    <w:p w14:paraId="7BA24FEA" w14:textId="5EE6E7DF" w:rsidR="00C571DC" w:rsidRPr="005D4FFD" w:rsidRDefault="00C571DC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Part V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spans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two areas: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eadership and the paradigm shift of </w:t>
      </w:r>
      <w:r w:rsidR="00C34CE0" w:rsidRPr="005D4FFD">
        <w:rPr>
          <w:rFonts w:ascii="Times New Roman" w:hAnsi="Times New Roman" w:cs="Times New Roman"/>
          <w:sz w:val="24"/>
          <w:szCs w:val="24"/>
          <w:lang w:val="en-US"/>
        </w:rPr>
        <w:t>Christian growth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al orientation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one of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movements.</w:t>
      </w:r>
      <w:r w:rsidR="005A409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Right leadership is a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key,</w:t>
      </w:r>
      <w:r w:rsidR="005A409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believes Emamuel Prinz. </w:t>
      </w:r>
      <w:r w:rsidR="00244F26">
        <w:rPr>
          <w:rFonts w:ascii="Times New Roman" w:hAnsi="Times New Roman" w:cs="Times New Roman"/>
          <w:sz w:val="24"/>
          <w:szCs w:val="24"/>
          <w:lang w:val="en-US"/>
        </w:rPr>
        <w:t>People are</w:t>
      </w:r>
      <w:r w:rsidR="005A409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indispensable</w:t>
      </w:r>
      <w:r w:rsidR="005A409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, not methods and curriculum.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Eric and Laura Adams outline n</w:t>
      </w:r>
      <w:r w:rsidR="005A409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ine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A409B" w:rsidRPr="005D4FFD">
        <w:rPr>
          <w:rFonts w:ascii="Times New Roman" w:hAnsi="Times New Roman" w:cs="Times New Roman"/>
          <w:sz w:val="24"/>
          <w:szCs w:val="24"/>
          <w:lang w:val="en-US"/>
        </w:rPr>
        <w:t>ractices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09B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A409B" w:rsidRPr="005D4FFD">
        <w:rPr>
          <w:rFonts w:ascii="Times New Roman" w:hAnsi="Times New Roman" w:cs="Times New Roman"/>
          <w:sz w:val="24"/>
          <w:szCs w:val="24"/>
          <w:lang w:val="en-US"/>
        </w:rPr>
        <w:t>Movement Thinking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: pray, learn, partner, evaluate, display faith publicly, widen contacts, listen to God, obey God</w:t>
      </w:r>
      <w:r w:rsidR="00244F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empower leaders</w:t>
      </w:r>
      <w:r w:rsidR="00244F2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9547C">
        <w:rPr>
          <w:rFonts w:ascii="Times New Roman" w:hAnsi="Times New Roman" w:cs="Times New Roman"/>
          <w:sz w:val="24"/>
          <w:szCs w:val="24"/>
          <w:lang w:val="en-US"/>
        </w:rPr>
        <w:t>397</w:t>
      </w:r>
      <w:r w:rsidR="00244F2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6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BFCFEB" w14:textId="7B23DF46" w:rsidR="00C85549" w:rsidRPr="005D4FFD" w:rsidRDefault="00C85549" w:rsidP="005D4FF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b/>
          <w:bCs/>
          <w:sz w:val="24"/>
          <w:szCs w:val="24"/>
          <w:lang w:val="en-US"/>
        </w:rPr>
        <w:t>Reflection</w:t>
      </w:r>
    </w:p>
    <w:p w14:paraId="35ED8A43" w14:textId="3F422D6E" w:rsidR="007E3534" w:rsidRPr="005D4FFD" w:rsidRDefault="00C85549" w:rsidP="005D4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>Motus Dei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is an excellent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researched book for evangelists, missionaries, pastors, missiologists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anyone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interested in mission principles and praxis. It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offers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>iblical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, historical,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theological </w:t>
      </w:r>
      <w:r w:rsidR="007A695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grounding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A695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presents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case studies</w:t>
      </w:r>
      <w:r w:rsidR="007A695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around the world.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This volume</w:t>
      </w:r>
      <w:r w:rsidR="007E353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is a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must-read</w:t>
      </w:r>
      <w:r w:rsidR="007E353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for serious mission practioners.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E353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605" w:rsidRPr="005D4FFD">
        <w:rPr>
          <w:rFonts w:ascii="Times New Roman" w:hAnsi="Times New Roman" w:cs="Times New Roman"/>
          <w:sz w:val="24"/>
          <w:szCs w:val="24"/>
          <w:lang w:val="en-US"/>
        </w:rPr>
        <w:t>points to</w:t>
      </w:r>
      <w:r w:rsidR="007E353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excellent missiological references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353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students of missiology will benefit from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it.</w:t>
      </w:r>
    </w:p>
    <w:p w14:paraId="529AA777" w14:textId="0DDC545A" w:rsidR="007E3534" w:rsidRPr="005D4FFD" w:rsidRDefault="007E3534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writers recognize context, history, social dynamics,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>iblical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narratives, theology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missiology when they study a movement.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Hence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studies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558D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been conducted</w:t>
      </w:r>
      <w:r w:rsidR="00A558D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silos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lastRenderedPageBreak/>
        <w:t>The write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 also reflect th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eir awareness of the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perspectives and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>viewpoints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of other writers.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chapt</w:t>
      </w:r>
      <w:r w:rsidR="00A558D1" w:rsidRPr="005D4F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558D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 xml:space="preserve">thus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 xml:space="preserve">simply </w:t>
      </w:r>
      <w:r w:rsidR="001E603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E1DEA" w:rsidRPr="005D4FFD">
        <w:rPr>
          <w:rFonts w:ascii="Times New Roman" w:hAnsi="Times New Roman" w:cs="Times New Roman"/>
          <w:sz w:val="24"/>
          <w:szCs w:val="24"/>
          <w:lang w:val="en-US"/>
        </w:rPr>
        <w:t>opinions of some 25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E1DE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plus authors without connection to one another. They are interwoven and interlinked. However, the editor 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Farah </w:t>
      </w:r>
      <w:r w:rsidR="005E1DE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recognizes the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 xml:space="preserve">studies’ </w:t>
      </w:r>
      <w:r w:rsidR="005E1DEA" w:rsidRPr="005D4FFD">
        <w:rPr>
          <w:rFonts w:ascii="Times New Roman" w:hAnsi="Times New Roman" w:cs="Times New Roman"/>
          <w:sz w:val="24"/>
          <w:szCs w:val="24"/>
          <w:lang w:val="en-US"/>
        </w:rPr>
        <w:t>limitation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E1DE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The movements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 xml:space="preserve">examined </w:t>
      </w:r>
      <w:r w:rsidR="005E1DEA" w:rsidRPr="005D4FFD">
        <w:rPr>
          <w:rFonts w:ascii="Times New Roman" w:hAnsi="Times New Roman" w:cs="Times New Roman"/>
          <w:sz w:val="24"/>
          <w:szCs w:val="24"/>
          <w:lang w:val="en-US"/>
        </w:rPr>
        <w:t>have not reached the maturing stage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E1DE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>conflicts and contradictions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exist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48B23C5" w14:textId="70F01E31" w:rsidR="00937952" w:rsidRPr="005D4FFD" w:rsidRDefault="007A695C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Part II 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of the book, addressing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>iblical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theological foundations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are superb studies 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that advocate for a return to 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scripture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However,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authors appear to be 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fixated </w:t>
      </w:r>
      <w:r w:rsidR="00A558D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558D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calculations and 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>statistics.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CF8">
        <w:rPr>
          <w:rFonts w:ascii="Times New Roman" w:hAnsi="Times New Roman" w:cs="Times New Roman"/>
          <w:sz w:val="24"/>
          <w:szCs w:val="24"/>
          <w:lang w:val="en-US"/>
        </w:rPr>
        <w:t>Such an emphasis</w:t>
      </w:r>
      <w:r w:rsidR="000B3CF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begs the question</w:t>
      </w:r>
      <w:r w:rsidR="000B3CF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>did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>esus</w:t>
      </w:r>
      <w:proofErr w:type="gramEnd"/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importance o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numbers? Jesus and Paul wanted everyone to hear the gospel. The preoccupation 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numbers has not 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been welcomed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even among </w:t>
      </w:r>
      <w:r w:rsidR="000B3CF8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0B3CF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>vangelicals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fundamentalists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le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alone 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>Ecumenicals</w:t>
      </w:r>
      <w:r w:rsidR="000D5222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Some go to the extent of pos</w:t>
      </w:r>
      <w:r w:rsidR="00A3117D" w:rsidRPr="005D4F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ting </w:t>
      </w:r>
      <w:r w:rsidR="000B3CF8">
        <w:rPr>
          <w:rFonts w:ascii="Times New Roman" w:hAnsi="Times New Roman" w:cs="Times New Roman"/>
          <w:sz w:val="24"/>
          <w:szCs w:val="24"/>
          <w:lang w:val="en-US"/>
        </w:rPr>
        <w:t>the statistical focus</w:t>
      </w:r>
      <w:r w:rsidR="000B3CF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as a North American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phenomenon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D857D4" w14:textId="490696F1" w:rsidR="00480032" w:rsidRPr="005D4FFD" w:rsidRDefault="0025163E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003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quantitative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orientation </w:t>
      </w:r>
      <w:r w:rsidR="0048003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also comes with distinct challenges. Chapter 3 presents the findings from a Likert Scale survey through mean values. This choice effaces the specificity of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the respondents’</w:t>
      </w:r>
      <w:r w:rsidR="0048003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categorical agreement and disagreement. These findings would have better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480032" w:rsidRPr="005D4FFD">
        <w:rPr>
          <w:rFonts w:ascii="Times New Roman" w:hAnsi="Times New Roman" w:cs="Times New Roman"/>
          <w:sz w:val="24"/>
          <w:szCs w:val="24"/>
          <w:lang w:val="en-US"/>
        </w:rPr>
        <w:t>reported as proportions</w:t>
      </w:r>
      <w:r w:rsidR="00A66708">
        <w:rPr>
          <w:rFonts w:ascii="Times New Roman" w:hAnsi="Times New Roman" w:cs="Times New Roman"/>
          <w:sz w:val="24"/>
          <w:szCs w:val="24"/>
          <w:lang w:val="en-US"/>
        </w:rPr>
        <w:t xml:space="preserve"> in order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appropriately </w:t>
      </w:r>
      <w:r w:rsidR="00A6670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convey the relative degree of agreement, or lack thereof, on the objections studied. </w:t>
      </w:r>
    </w:p>
    <w:p w14:paraId="0B7F999A" w14:textId="17F33C5D" w:rsidR="000D5222" w:rsidRPr="005D4FFD" w:rsidRDefault="00A3117D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670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>ase studies are well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documented and point to what God is doing around the world. They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good models to emulate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, but the 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>question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remains</w:t>
      </w:r>
      <w:r w:rsidR="00A667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A66708">
        <w:rPr>
          <w:rFonts w:ascii="Times New Roman" w:hAnsi="Times New Roman" w:cs="Times New Roman"/>
          <w:sz w:val="24"/>
          <w:szCs w:val="24"/>
          <w:lang w:val="en-US"/>
        </w:rPr>
        <w:t>e models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A66708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worked among the Africans and Asians, why </w:t>
      </w:r>
      <w:r w:rsidR="00A66708">
        <w:rPr>
          <w:rFonts w:ascii="Times New Roman" w:hAnsi="Times New Roman" w:cs="Times New Roman"/>
          <w:sz w:val="24"/>
          <w:szCs w:val="24"/>
          <w:lang w:val="en-US"/>
        </w:rPr>
        <w:t>have they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failed 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ecularized Europeans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Australians</w:t>
      </w:r>
      <w:r w:rsidR="00A66708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God is the same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if we claim to use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universal </w:t>
      </w:r>
      <w:r w:rsidR="00A6670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7014" w:rsidRPr="005D4FFD">
        <w:rPr>
          <w:rFonts w:ascii="Times New Roman" w:hAnsi="Times New Roman" w:cs="Times New Roman"/>
          <w:sz w:val="24"/>
          <w:szCs w:val="24"/>
          <w:lang w:val="en-US"/>
        </w:rPr>
        <w:t>iblical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principles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then it is worth examining why </w:t>
      </w:r>
      <w:r w:rsidR="00EE513C">
        <w:rPr>
          <w:rFonts w:ascii="Times New Roman" w:hAnsi="Times New Roman" w:cs="Times New Roman"/>
          <w:sz w:val="24"/>
          <w:szCs w:val="24"/>
          <w:lang w:val="en-US"/>
        </w:rPr>
        <w:t>corresponding models have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worked in some places and not others</w:t>
      </w:r>
      <w:r w:rsidR="00937952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D997CDF" w14:textId="796C8A78" w:rsidR="007B0E90" w:rsidRPr="005D4FFD" w:rsidRDefault="00A3117D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>In the h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>istory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Christianity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, we see 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>both success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challenges. While </w:t>
      </w:r>
      <w:r w:rsidR="00EE513C">
        <w:rPr>
          <w:rFonts w:ascii="Times New Roman" w:hAnsi="Times New Roman" w:cs="Times New Roman"/>
          <w:sz w:val="24"/>
          <w:szCs w:val="24"/>
          <w:lang w:val="en-US"/>
        </w:rPr>
        <w:t>the faith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was rejected in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>land of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birth, it triumphed in the North Africa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European context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Barring the 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countries where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>Greek philosoph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ical tradition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was strong, most European countries had what we call animistic or primitive faiths. This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is also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true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South American countries,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Philippines, 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islands of 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>Oceania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64D14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pockets of Indonesia and East Timor.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For example, we read about 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>movement in India among Bhojpuri people. Even today, 70-80 per cent of Indian Christians are from so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called 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>rimitive faith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or belong to </w:t>
      </w:r>
      <w:r w:rsidR="00882F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socially 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>marginalized s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ects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D1715">
        <w:rPr>
          <w:rFonts w:ascii="Times New Roman" w:hAnsi="Times New Roman" w:cs="Times New Roman"/>
          <w:sz w:val="24"/>
          <w:szCs w:val="24"/>
          <w:lang w:val="en-US"/>
        </w:rPr>
        <w:t>Aloysius Pieris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, a Roman Catholic </w:t>
      </w:r>
      <w:r w:rsidR="00EE513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heologian, claims that Christianity has not made inroads where there is a presence of </w:t>
      </w:r>
      <w:r w:rsidR="00EE513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>Meta-cosmic Soteriology</w:t>
      </w:r>
      <w:r w:rsidR="00EE513C">
        <w:rPr>
          <w:rFonts w:ascii="Times New Roman" w:hAnsi="Times New Roman" w:cs="Times New Roman"/>
          <w:sz w:val="24"/>
          <w:szCs w:val="24"/>
          <w:lang w:val="en-US"/>
        </w:rPr>
        <w:t>” (</w:t>
      </w:r>
      <w:r w:rsidR="006D1715">
        <w:rPr>
          <w:rFonts w:ascii="Times New Roman" w:hAnsi="Times New Roman" w:cs="Times New Roman"/>
          <w:sz w:val="24"/>
          <w:szCs w:val="24"/>
          <w:lang w:val="en-US"/>
        </w:rPr>
        <w:t>Pieris 198</w:t>
      </w:r>
      <w:r w:rsidR="000B5041">
        <w:rPr>
          <w:rFonts w:ascii="Times New Roman" w:hAnsi="Times New Roman" w:cs="Times New Roman"/>
          <w:sz w:val="24"/>
          <w:szCs w:val="24"/>
          <w:lang w:val="en-US"/>
        </w:rPr>
        <w:t>8, 8-16</w:t>
      </w:r>
      <w:r w:rsidR="006D17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>. God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’s 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ways and works are mysterious, </w:t>
      </w:r>
      <w:r w:rsidR="00421A08">
        <w:rPr>
          <w:rFonts w:ascii="Times New Roman" w:hAnsi="Times New Roman" w:cs="Times New Roman"/>
          <w:sz w:val="24"/>
          <w:szCs w:val="24"/>
          <w:lang w:val="en-US"/>
        </w:rPr>
        <w:t>a reality that must affect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21A08">
        <w:rPr>
          <w:rFonts w:ascii="Times New Roman" w:hAnsi="Times New Roman" w:cs="Times New Roman"/>
          <w:sz w:val="24"/>
          <w:szCs w:val="24"/>
          <w:lang w:val="en-US"/>
        </w:rPr>
        <w:t>ny</w:t>
      </w:r>
      <w:r w:rsidR="007B0E9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missiological perspective.</w:t>
      </w:r>
    </w:p>
    <w:p w14:paraId="7ECE1ADF" w14:textId="6152697F" w:rsidR="003F4EAD" w:rsidRPr="005D4FFD" w:rsidRDefault="00053DB3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aim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missional movements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must be to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“true discipleship,” and Coles’ chapter claims that this is taking place.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However, 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one must exercise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cautio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n in </w:t>
      </w:r>
      <w:r w:rsidR="00480032" w:rsidRPr="005D4FFD">
        <w:rPr>
          <w:rFonts w:ascii="Times New Roman" w:hAnsi="Times New Roman" w:cs="Times New Roman"/>
          <w:sz w:val="24"/>
          <w:szCs w:val="24"/>
          <w:lang w:val="en-US"/>
        </w:rPr>
        <w:t>defining “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true discipleship.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In the Thai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context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elievers continue the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religious rituals until they 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choose not to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If this </w:t>
      </w:r>
      <w:r w:rsidR="00450D91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8763D3">
        <w:rPr>
          <w:rFonts w:ascii="Times New Roman" w:hAnsi="Times New Roman" w:cs="Times New Roman"/>
          <w:sz w:val="24"/>
          <w:szCs w:val="24"/>
          <w:lang w:val="en-US"/>
        </w:rPr>
        <w:t xml:space="preserve"> of believers continu</w:t>
      </w:r>
      <w:r w:rsidR="00450D91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876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D91">
        <w:rPr>
          <w:rFonts w:ascii="Times New Roman" w:hAnsi="Times New Roman" w:cs="Times New Roman"/>
          <w:sz w:val="24"/>
          <w:szCs w:val="24"/>
          <w:lang w:val="en-US"/>
        </w:rPr>
        <w:t xml:space="preserve">to observe </w:t>
      </w:r>
      <w:r w:rsidR="008763D3">
        <w:rPr>
          <w:rFonts w:ascii="Times New Roman" w:hAnsi="Times New Roman" w:cs="Times New Roman"/>
          <w:sz w:val="24"/>
          <w:szCs w:val="24"/>
          <w:lang w:val="en-US"/>
        </w:rPr>
        <w:t>religious rituals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were applied to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India, 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millions of Indians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could be considered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Christian</w:t>
      </w:r>
      <w:r w:rsidR="00C810FF" w:rsidRPr="005D4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. Hindus have no problem with this ideology</w:t>
      </w:r>
      <w:r w:rsidR="008763D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50D91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8763D3">
        <w:rPr>
          <w:rFonts w:ascii="Times New Roman" w:hAnsi="Times New Roman" w:cs="Times New Roman"/>
          <w:sz w:val="24"/>
          <w:szCs w:val="24"/>
          <w:lang w:val="en-US"/>
        </w:rPr>
        <w:t xml:space="preserve">following Jesus and </w:t>
      </w:r>
      <w:r w:rsidR="00450D91">
        <w:rPr>
          <w:rFonts w:ascii="Times New Roman" w:hAnsi="Times New Roman" w:cs="Times New Roman"/>
          <w:sz w:val="24"/>
          <w:szCs w:val="24"/>
          <w:lang w:val="en-US"/>
        </w:rPr>
        <w:t xml:space="preserve">observing </w:t>
      </w:r>
      <w:r w:rsidR="008763D3">
        <w:rPr>
          <w:rFonts w:ascii="Times New Roman" w:hAnsi="Times New Roman" w:cs="Times New Roman"/>
          <w:sz w:val="24"/>
          <w:szCs w:val="24"/>
          <w:lang w:val="en-US"/>
        </w:rPr>
        <w:t>their respective religious/social rituals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>, and in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sider movements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would grow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among 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Muslims 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and Hindus. </w:t>
      </w:r>
      <w:r w:rsidR="00421A08">
        <w:rPr>
          <w:rFonts w:ascii="Times New Roman" w:hAnsi="Times New Roman" w:cs="Times New Roman"/>
          <w:sz w:val="24"/>
          <w:szCs w:val="24"/>
          <w:lang w:val="en-US"/>
        </w:rPr>
        <w:t>Such a process would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eventually lead to both syncretism and pluralism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Can we encourage such movements? There are no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easy answers.</w:t>
      </w:r>
      <w:r w:rsidR="00096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20A9FA" w14:textId="34D45313" w:rsidR="00E02E10" w:rsidRPr="005D4FFD" w:rsidRDefault="00AB0728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>The h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ouse churches </w:t>
      </w:r>
      <w:r w:rsidR="00F24B8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>oikos</w:t>
      </w:r>
      <w:r w:rsidR="00F24B8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movement is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model we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directly </w:t>
      </w:r>
      <w:r w:rsidR="00882F28" w:rsidRPr="005D4FFD">
        <w:rPr>
          <w:rFonts w:ascii="Times New Roman" w:hAnsi="Times New Roman" w:cs="Times New Roman"/>
          <w:sz w:val="24"/>
          <w:szCs w:val="24"/>
          <w:lang w:val="en-US"/>
        </w:rPr>
        <w:t>adopt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from Jesus Christ. </w:t>
      </w:r>
      <w:r w:rsidR="00F24B85">
        <w:rPr>
          <w:rFonts w:ascii="Times New Roman" w:hAnsi="Times New Roman" w:cs="Times New Roman"/>
          <w:sz w:val="24"/>
          <w:szCs w:val="24"/>
          <w:lang w:val="en-US"/>
        </w:rPr>
        <w:t>Gathering in homes</w:t>
      </w:r>
      <w:r w:rsidR="00F24B85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>is a good starting point.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However</w:t>
      </w:r>
      <w:r w:rsidR="00F24B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>Asian countries are filled with temples,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E78" w:rsidRPr="005D4FFD">
        <w:rPr>
          <w:rFonts w:ascii="Times New Roman" w:hAnsi="Times New Roman" w:cs="Times New Roman"/>
          <w:sz w:val="24"/>
          <w:szCs w:val="24"/>
          <w:lang w:val="en-US"/>
        </w:rPr>
        <w:t>pagodas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>, gurudwaras, mosques, and many other religious structures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Coming to Christ from these religious milieu, followers of Jesus find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extremely difficult to worship in houses. They do not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necessarily need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B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>athedrals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but they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desire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 neutral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>ce where they can come together irrespective of caste, creed</w:t>
      </w:r>
      <w:r w:rsidR="00F24B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F4EAD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color.</w:t>
      </w:r>
      <w:r w:rsidR="00E02E1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Oikos is a good beginning</w:t>
      </w:r>
      <w:r w:rsidR="00CC33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02E1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E02E10" w:rsidRPr="005D4FFD">
        <w:rPr>
          <w:rFonts w:ascii="Times New Roman" w:hAnsi="Times New Roman" w:cs="Times New Roman"/>
          <w:sz w:val="24"/>
          <w:szCs w:val="24"/>
          <w:lang w:val="en-US"/>
        </w:rPr>
        <w:t>cannot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always</w:t>
      </w:r>
      <w:r w:rsidR="00E02E10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be maintained in the long run.</w:t>
      </w:r>
    </w:p>
    <w:p w14:paraId="6CD1141E" w14:textId="65BA3D73" w:rsidR="00E02E10" w:rsidRPr="005D4FFD" w:rsidRDefault="00E02E10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Funding for movements is 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>a contentious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issue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many authors have discussed it. We need to identify the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relative strengths and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shortcomings 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of different practices and </w:t>
      </w:r>
      <w:r w:rsidR="00882F28" w:rsidRPr="005D4FFD">
        <w:rPr>
          <w:rFonts w:ascii="Times New Roman" w:hAnsi="Times New Roman" w:cs="Times New Roman"/>
          <w:sz w:val="24"/>
          <w:szCs w:val="24"/>
          <w:lang w:val="en-US"/>
        </w:rPr>
        <w:t>workshop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ways to 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overcome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challenges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suggestion from some authors that movements should be purely locally</w:t>
      </w:r>
      <w:r w:rsidR="00CC33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>funded appears reduct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ive</w:t>
      </w:r>
      <w:r w:rsidR="00AB07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needs discussion.</w:t>
      </w:r>
    </w:p>
    <w:p w14:paraId="70FDE636" w14:textId="31A61763" w:rsidR="000F2845" w:rsidRPr="005D4FFD" w:rsidRDefault="00E02E10" w:rsidP="005D4F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>The great merit of this research is that it is contemporary</w:t>
      </w:r>
      <w:r w:rsidR="00F24B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practical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eas</w:t>
      </w:r>
      <w:r w:rsidR="00F24B85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>y relat</w:t>
      </w:r>
      <w:r w:rsidR="00F24B85">
        <w:rPr>
          <w:rFonts w:ascii="Times New Roman" w:hAnsi="Times New Roman" w:cs="Times New Roman"/>
          <w:sz w:val="24"/>
          <w:szCs w:val="24"/>
          <w:lang w:val="en-US"/>
        </w:rPr>
        <w:t>abl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e. However, 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the bulk of researchers appear to be from the </w:t>
      </w:r>
      <w:proofErr w:type="gramStart"/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proofErr w:type="gramEnd"/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have been trained in the Western tradition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The majority of</w:t>
      </w:r>
      <w:proofErr w:type="gramEnd"/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books and articles 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cited were</w:t>
      </w:r>
      <w:r w:rsidR="00C753C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produced in the 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est. Is there a way to 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empower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locals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who initiated movements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>reflect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produce their own narratives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? We don’t have much research </w:t>
      </w:r>
      <w:r w:rsidR="00882F28" w:rsidRPr="005D4FFD">
        <w:rPr>
          <w:rFonts w:ascii="Times New Roman" w:hAnsi="Times New Roman" w:cs="Times New Roman"/>
          <w:sz w:val="24"/>
          <w:szCs w:val="24"/>
          <w:lang w:val="en-US"/>
        </w:rPr>
        <w:t>on the movement in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>hina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, emerging </w:t>
      </w:r>
      <w:r w:rsidR="003577FD" w:rsidRPr="005D4FFD">
        <w:rPr>
          <w:rFonts w:ascii="Times New Roman" w:hAnsi="Times New Roman" w:cs="Times New Roman"/>
          <w:sz w:val="24"/>
          <w:szCs w:val="24"/>
          <w:lang w:val="en-US"/>
        </w:rPr>
        <w:t>without external influence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but</w:t>
      </w:r>
      <w:r w:rsidR="008763D3">
        <w:rPr>
          <w:rFonts w:ascii="Times New Roman" w:hAnsi="Times New Roman" w:cs="Times New Roman"/>
          <w:sz w:val="24"/>
          <w:szCs w:val="24"/>
          <w:lang w:val="en-US"/>
        </w:rPr>
        <w:t xml:space="preserve"> movement of God in China</w:t>
      </w:r>
      <w:r w:rsidR="00882F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82F28" w:rsidRPr="005D4FFD">
        <w:rPr>
          <w:rFonts w:ascii="Times New Roman" w:hAnsi="Times New Roman" w:cs="Times New Roman"/>
          <w:sz w:val="24"/>
          <w:szCs w:val="24"/>
          <w:lang w:val="en-US"/>
        </w:rPr>
        <w:t>exists</w:t>
      </w:r>
      <w:proofErr w:type="gramEnd"/>
      <w:r w:rsidR="00882F28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nonetheless</w:t>
      </w:r>
      <w:r w:rsidR="00C91B1C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. This </w:t>
      </w:r>
      <w:r w:rsidR="0027541E">
        <w:rPr>
          <w:rFonts w:ascii="Times New Roman" w:hAnsi="Times New Roman" w:cs="Times New Roman"/>
          <w:sz w:val="24"/>
          <w:szCs w:val="24"/>
          <w:lang w:val="en-US"/>
        </w:rPr>
        <w:t xml:space="preserve">Chinese example 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>presents an interesting opportunity</w:t>
      </w:r>
      <w:r w:rsidR="0027541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22FBF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how does a movement begin, seemingly unprompted? </w:t>
      </w:r>
      <w:r w:rsidR="00C753C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Another question to </w:t>
      </w:r>
      <w:r w:rsidR="0027541E">
        <w:rPr>
          <w:rFonts w:ascii="Times New Roman" w:hAnsi="Times New Roman" w:cs="Times New Roman"/>
          <w:sz w:val="24"/>
          <w:szCs w:val="24"/>
          <w:lang w:val="en-US"/>
        </w:rPr>
        <w:t xml:space="preserve">explore concerns those movements initiated by someone from the Global South without any Western influence, for </w:t>
      </w:r>
      <w:proofErr w:type="gramStart"/>
      <w:r w:rsidR="0027541E">
        <w:rPr>
          <w:rFonts w:ascii="Times New Roman" w:hAnsi="Times New Roman" w:cs="Times New Roman"/>
          <w:sz w:val="24"/>
          <w:szCs w:val="24"/>
          <w:lang w:val="en-US"/>
        </w:rPr>
        <w:t>example</w:t>
      </w:r>
      <w:proofErr w:type="gramEnd"/>
      <w:r w:rsidR="0027541E">
        <w:rPr>
          <w:rFonts w:ascii="Times New Roman" w:hAnsi="Times New Roman" w:cs="Times New Roman"/>
          <w:sz w:val="24"/>
          <w:szCs w:val="24"/>
          <w:lang w:val="en-US"/>
        </w:rPr>
        <w:t xml:space="preserve"> the West African Harris Movement in the early twentieth century.</w:t>
      </w:r>
      <w:r w:rsidR="000F2845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A50C00" w14:textId="46945B64" w:rsidR="00937952" w:rsidRDefault="0027541E" w:rsidP="00CC333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i/>
          <w:iCs/>
          <w:sz w:val="24"/>
          <w:szCs w:val="24"/>
          <w:lang w:val="en-US"/>
        </w:rPr>
        <w:t>Motus Dei: The Movement of God to Disciple the Nations</w:t>
      </w:r>
      <w:r w:rsidR="00C753C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753C1" w:rsidRPr="005D4FFD">
        <w:rPr>
          <w:rFonts w:ascii="Times New Roman" w:hAnsi="Times New Roman" w:cs="Times New Roman"/>
          <w:sz w:val="24"/>
          <w:szCs w:val="24"/>
          <w:lang w:val="en-US"/>
        </w:rPr>
        <w:t>a great read. I find this book extremely useful both for my teaching and missional practices. It is a</w:t>
      </w:r>
      <w:r w:rsidR="0025163E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n instructive </w:t>
      </w:r>
      <w:r w:rsidR="00C753C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tool for anyone interested </w:t>
      </w:r>
      <w:r w:rsidR="0025163E" w:rsidRPr="005D4FF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753C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know</w:t>
      </w:r>
      <w:r w:rsidR="0025163E" w:rsidRPr="005D4FFD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C753C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the way God works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53C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it is a great tool and resource for churches, foundations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53C1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B526A"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missiologists who want to know about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B526A" w:rsidRPr="005D4FFD">
        <w:rPr>
          <w:rFonts w:ascii="Times New Roman" w:hAnsi="Times New Roman" w:cs="Times New Roman"/>
          <w:sz w:val="24"/>
          <w:szCs w:val="24"/>
          <w:lang w:val="en-US"/>
        </w:rPr>
        <w:t>Motus Dei.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4482F1AE" w14:textId="73AEBFDB" w:rsidR="006D1715" w:rsidRPr="006D1715" w:rsidRDefault="006D1715" w:rsidP="006D17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D1715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120329C0" w14:textId="76FB16E6" w:rsidR="006D1715" w:rsidRPr="006D1715" w:rsidRDefault="006D1715" w:rsidP="00DE0E9A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FFD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er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>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Aloysius (198</w:t>
      </w:r>
      <w:r w:rsidR="000B5041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5D4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Love Meets Wisdom: A Christian Experience of Buddhism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E0E9A">
        <w:rPr>
          <w:rFonts w:ascii="Times New Roman" w:hAnsi="Times New Roman" w:cs="Times New Roman"/>
          <w:sz w:val="24"/>
          <w:szCs w:val="24"/>
          <w:lang w:val="en-US"/>
        </w:rPr>
        <w:t>Maryknoll, NY: Orbis Books.</w:t>
      </w:r>
    </w:p>
    <w:sectPr w:rsidR="006D1715" w:rsidRPr="006D1715" w:rsidSect="001635E4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40" w:right="1440" w:bottom="1440" w:left="1440" w:header="720" w:footer="720" w:gutter="0"/>
      <w:pgNumType w:start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5C60" w14:textId="77777777" w:rsidR="00443285" w:rsidRDefault="00443285" w:rsidP="008020B3">
      <w:pPr>
        <w:spacing w:after="0" w:line="240" w:lineRule="auto"/>
      </w:pPr>
      <w:r>
        <w:separator/>
      </w:r>
    </w:p>
  </w:endnote>
  <w:endnote w:type="continuationSeparator" w:id="0">
    <w:p w14:paraId="7E69BC82" w14:textId="77777777" w:rsidR="00443285" w:rsidRDefault="00443285" w:rsidP="0080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DED5" w14:textId="23CBB4CB" w:rsidR="008020B3" w:rsidRDefault="00CC45DE" w:rsidP="00CC45DE">
    <w:pPr>
      <w:pStyle w:val="Footer"/>
      <w:jc w:val="center"/>
    </w:pPr>
    <w:r w:rsidRPr="006039E5">
      <w:rPr>
        <w:rFonts w:ascii="Times New Roman" w:hAnsi="Times New Roman" w:cs="Times New Roman"/>
        <w:i/>
        <w:iCs/>
        <w:color w:val="000000"/>
        <w:sz w:val="20"/>
        <w:szCs w:val="20"/>
      </w:rPr>
      <w:t>Global Missiology</w:t>
    </w:r>
    <w:r w:rsidRPr="006039E5">
      <w:rPr>
        <w:rFonts w:ascii="Times New Roman" w:hAnsi="Times New Roman" w:cs="Times New Roman"/>
        <w:color w:val="000000"/>
        <w:sz w:val="20"/>
        <w:szCs w:val="20"/>
      </w:rPr>
      <w:t xml:space="preserve"> - ISSN 2831-4751 - Vol 19, No 4 (2022) October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880F" w14:textId="1B2FD4D9" w:rsidR="00CC45DE" w:rsidRDefault="00CC45DE" w:rsidP="00CC45DE">
    <w:pPr>
      <w:pStyle w:val="Footer"/>
      <w:jc w:val="center"/>
    </w:pPr>
    <w:r w:rsidRPr="006039E5">
      <w:rPr>
        <w:rFonts w:ascii="Times New Roman" w:hAnsi="Times New Roman" w:cs="Times New Roman"/>
        <w:i/>
        <w:iCs/>
        <w:color w:val="000000"/>
        <w:sz w:val="20"/>
        <w:szCs w:val="20"/>
      </w:rPr>
      <w:t>Global Missiology</w:t>
    </w:r>
    <w:r w:rsidRPr="006039E5">
      <w:rPr>
        <w:rFonts w:ascii="Times New Roman" w:hAnsi="Times New Roman" w:cs="Times New Roman"/>
        <w:color w:val="000000"/>
        <w:sz w:val="20"/>
        <w:szCs w:val="20"/>
      </w:rPr>
      <w:t xml:space="preserve"> - ISSN 2831-4751 - Vol 19, No 4 (2022) 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31E0" w14:textId="77777777" w:rsidR="00443285" w:rsidRDefault="00443285" w:rsidP="008020B3">
      <w:pPr>
        <w:spacing w:after="0" w:line="240" w:lineRule="auto"/>
      </w:pPr>
      <w:r>
        <w:separator/>
      </w:r>
    </w:p>
  </w:footnote>
  <w:footnote w:type="continuationSeparator" w:id="0">
    <w:p w14:paraId="2AA8B35A" w14:textId="77777777" w:rsidR="00443285" w:rsidRDefault="00443285" w:rsidP="0080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2797200"/>
      <w:docPartObj>
        <w:docPartGallery w:val="Page Numbers (Top of Page)"/>
        <w:docPartUnique/>
      </w:docPartObj>
    </w:sdtPr>
    <w:sdtContent>
      <w:p w14:paraId="4573CECF" w14:textId="05BA9DDC" w:rsidR="00CC45DE" w:rsidRDefault="00CC45DE" w:rsidP="00DB511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D7B627" w14:textId="77777777" w:rsidR="00CC45DE" w:rsidRDefault="00CC45DE" w:rsidP="00CC45D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8347251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05887C39" w14:textId="2A4CE12F" w:rsidR="00CC45DE" w:rsidRPr="00CC45DE" w:rsidRDefault="00CC45DE" w:rsidP="00DB5118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CC45D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CC45DE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CC45D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CC45DE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CC45D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4323F" w14:textId="77777777" w:rsidR="00CC45DE" w:rsidRDefault="00CC45DE" w:rsidP="00CC45D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C0D63"/>
    <w:multiLevelType w:val="multilevel"/>
    <w:tmpl w:val="9602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2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4"/>
    <w:rsid w:val="000028CE"/>
    <w:rsid w:val="000501C4"/>
    <w:rsid w:val="00053DB3"/>
    <w:rsid w:val="00057250"/>
    <w:rsid w:val="000725F8"/>
    <w:rsid w:val="000963D7"/>
    <w:rsid w:val="000B2923"/>
    <w:rsid w:val="000B3CF8"/>
    <w:rsid w:val="000B5041"/>
    <w:rsid w:val="000D36E6"/>
    <w:rsid w:val="000D5222"/>
    <w:rsid w:val="000E0083"/>
    <w:rsid w:val="000F2845"/>
    <w:rsid w:val="000F6343"/>
    <w:rsid w:val="00116E3D"/>
    <w:rsid w:val="00122EA0"/>
    <w:rsid w:val="0014778A"/>
    <w:rsid w:val="001635E4"/>
    <w:rsid w:val="00182026"/>
    <w:rsid w:val="001877D8"/>
    <w:rsid w:val="0019547C"/>
    <w:rsid w:val="00196C25"/>
    <w:rsid w:val="001A1611"/>
    <w:rsid w:val="001E6030"/>
    <w:rsid w:val="0020479A"/>
    <w:rsid w:val="00217B3E"/>
    <w:rsid w:val="002356E1"/>
    <w:rsid w:val="00244F26"/>
    <w:rsid w:val="0025163E"/>
    <w:rsid w:val="00254F0C"/>
    <w:rsid w:val="002735EB"/>
    <w:rsid w:val="0027541E"/>
    <w:rsid w:val="002A2952"/>
    <w:rsid w:val="002B7FD2"/>
    <w:rsid w:val="002C06D6"/>
    <w:rsid w:val="002D312E"/>
    <w:rsid w:val="002E2037"/>
    <w:rsid w:val="003577FD"/>
    <w:rsid w:val="00362B57"/>
    <w:rsid w:val="00391EBB"/>
    <w:rsid w:val="003B3CF8"/>
    <w:rsid w:val="003F26A0"/>
    <w:rsid w:val="003F4EAD"/>
    <w:rsid w:val="004046AD"/>
    <w:rsid w:val="00421A08"/>
    <w:rsid w:val="00431ACF"/>
    <w:rsid w:val="00440246"/>
    <w:rsid w:val="00443285"/>
    <w:rsid w:val="00450D91"/>
    <w:rsid w:val="004778A9"/>
    <w:rsid w:val="00480032"/>
    <w:rsid w:val="004B66B9"/>
    <w:rsid w:val="004D78BE"/>
    <w:rsid w:val="004E4BBE"/>
    <w:rsid w:val="004F43CD"/>
    <w:rsid w:val="00520116"/>
    <w:rsid w:val="00530B40"/>
    <w:rsid w:val="00537879"/>
    <w:rsid w:val="00564D14"/>
    <w:rsid w:val="005A409B"/>
    <w:rsid w:val="005C6604"/>
    <w:rsid w:val="005D0384"/>
    <w:rsid w:val="005D4FFD"/>
    <w:rsid w:val="005E1DEA"/>
    <w:rsid w:val="00604FA9"/>
    <w:rsid w:val="00621E5A"/>
    <w:rsid w:val="00665E01"/>
    <w:rsid w:val="006A2FEC"/>
    <w:rsid w:val="006C1332"/>
    <w:rsid w:val="006D1715"/>
    <w:rsid w:val="006E4FEE"/>
    <w:rsid w:val="0073076C"/>
    <w:rsid w:val="007345BD"/>
    <w:rsid w:val="00743525"/>
    <w:rsid w:val="00790605"/>
    <w:rsid w:val="007A695C"/>
    <w:rsid w:val="007A6E6B"/>
    <w:rsid w:val="007B0E90"/>
    <w:rsid w:val="007C4969"/>
    <w:rsid w:val="007C4CB4"/>
    <w:rsid w:val="007E3534"/>
    <w:rsid w:val="007E3A3D"/>
    <w:rsid w:val="007E53E0"/>
    <w:rsid w:val="007F380D"/>
    <w:rsid w:val="00801E13"/>
    <w:rsid w:val="008020B3"/>
    <w:rsid w:val="008101DA"/>
    <w:rsid w:val="008117C2"/>
    <w:rsid w:val="00823059"/>
    <w:rsid w:val="008763D3"/>
    <w:rsid w:val="00882F28"/>
    <w:rsid w:val="008C5BBC"/>
    <w:rsid w:val="008D4401"/>
    <w:rsid w:val="008E573C"/>
    <w:rsid w:val="009201E7"/>
    <w:rsid w:val="00931CF2"/>
    <w:rsid w:val="00937952"/>
    <w:rsid w:val="009B1BD7"/>
    <w:rsid w:val="009B2D57"/>
    <w:rsid w:val="009B7A36"/>
    <w:rsid w:val="009C4B00"/>
    <w:rsid w:val="009D650E"/>
    <w:rsid w:val="009F1713"/>
    <w:rsid w:val="00A10227"/>
    <w:rsid w:val="00A12190"/>
    <w:rsid w:val="00A3117D"/>
    <w:rsid w:val="00A42E02"/>
    <w:rsid w:val="00A558D1"/>
    <w:rsid w:val="00A66708"/>
    <w:rsid w:val="00A77C7F"/>
    <w:rsid w:val="00A848FD"/>
    <w:rsid w:val="00AB0728"/>
    <w:rsid w:val="00B138B5"/>
    <w:rsid w:val="00B22FBF"/>
    <w:rsid w:val="00B60A53"/>
    <w:rsid w:val="00B76FBB"/>
    <w:rsid w:val="00B92993"/>
    <w:rsid w:val="00BA69B0"/>
    <w:rsid w:val="00BC538A"/>
    <w:rsid w:val="00BE2FF1"/>
    <w:rsid w:val="00BF7165"/>
    <w:rsid w:val="00C00B90"/>
    <w:rsid w:val="00C31372"/>
    <w:rsid w:val="00C34CE0"/>
    <w:rsid w:val="00C40329"/>
    <w:rsid w:val="00C44CBB"/>
    <w:rsid w:val="00C571DC"/>
    <w:rsid w:val="00C753C1"/>
    <w:rsid w:val="00C810FF"/>
    <w:rsid w:val="00C85549"/>
    <w:rsid w:val="00C91B1C"/>
    <w:rsid w:val="00C97014"/>
    <w:rsid w:val="00CB526A"/>
    <w:rsid w:val="00CC3335"/>
    <w:rsid w:val="00CC3F89"/>
    <w:rsid w:val="00CC45DE"/>
    <w:rsid w:val="00CD3D4F"/>
    <w:rsid w:val="00CF4F38"/>
    <w:rsid w:val="00CF7126"/>
    <w:rsid w:val="00D171A5"/>
    <w:rsid w:val="00D215F9"/>
    <w:rsid w:val="00D23E78"/>
    <w:rsid w:val="00D35125"/>
    <w:rsid w:val="00D60EBB"/>
    <w:rsid w:val="00D8333F"/>
    <w:rsid w:val="00DE0E9A"/>
    <w:rsid w:val="00E02E10"/>
    <w:rsid w:val="00E1689A"/>
    <w:rsid w:val="00E24DBB"/>
    <w:rsid w:val="00E27DC3"/>
    <w:rsid w:val="00E47709"/>
    <w:rsid w:val="00ED1954"/>
    <w:rsid w:val="00EE513C"/>
    <w:rsid w:val="00F06FF6"/>
    <w:rsid w:val="00F24B85"/>
    <w:rsid w:val="00F34F93"/>
    <w:rsid w:val="00F567C0"/>
    <w:rsid w:val="00F83465"/>
    <w:rsid w:val="00FC5A69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2CBD"/>
  <w15:chartTrackingRefBased/>
  <w15:docId w15:val="{1D1E99AD-B1BC-4BF7-9DAA-3821503F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31C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0B3"/>
  </w:style>
  <w:style w:type="paragraph" w:styleId="Footer">
    <w:name w:val="footer"/>
    <w:basedOn w:val="Normal"/>
    <w:link w:val="FooterChar"/>
    <w:uiPriority w:val="99"/>
    <w:unhideWhenUsed/>
    <w:rsid w:val="0080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0B3"/>
  </w:style>
  <w:style w:type="character" w:styleId="CommentReference">
    <w:name w:val="annotation reference"/>
    <w:basedOn w:val="DefaultParagraphFont"/>
    <w:uiPriority w:val="99"/>
    <w:semiHidden/>
    <w:unhideWhenUsed/>
    <w:rsid w:val="006E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FE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4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FF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C4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7D54-40A0-4AAF-8F33-97622EF2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Dasan Jeyaraj</dc:creator>
  <cp:keywords/>
  <dc:description/>
  <cp:lastModifiedBy>Nelson Jennings</cp:lastModifiedBy>
  <cp:revision>23</cp:revision>
  <dcterms:created xsi:type="dcterms:W3CDTF">2022-08-18T11:33:00Z</dcterms:created>
  <dcterms:modified xsi:type="dcterms:W3CDTF">2022-10-18T12:37:00Z</dcterms:modified>
</cp:coreProperties>
</file>