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FEE0" w14:textId="77777777" w:rsidR="006F73D1" w:rsidRDefault="00DF2BF2" w:rsidP="006F73D1">
      <w:pPr>
        <w:tabs>
          <w:tab w:val="left" w:pos="360"/>
        </w:tabs>
        <w:jc w:val="center"/>
        <w:rPr>
          <w:b/>
          <w:bCs/>
        </w:rPr>
      </w:pPr>
      <w:r>
        <w:rPr>
          <w:b/>
          <w:bCs/>
        </w:rPr>
        <w:t>Prophets in the Seminary: The Prophetic Function as a</w:t>
      </w:r>
    </w:p>
    <w:p w14:paraId="5EBE9E78" w14:textId="6C427218" w:rsidR="00DF2BF2" w:rsidRDefault="00DF2BF2" w:rsidP="006F73D1">
      <w:pPr>
        <w:tabs>
          <w:tab w:val="left" w:pos="360"/>
        </w:tabs>
        <w:spacing w:after="160"/>
        <w:jc w:val="center"/>
      </w:pPr>
      <w:r>
        <w:rPr>
          <w:b/>
          <w:bCs/>
        </w:rPr>
        <w:t>Means of Maintaining Missional Focus in Theological Education</w:t>
      </w:r>
    </w:p>
    <w:p w14:paraId="4E3820BE" w14:textId="4265C84B" w:rsidR="00D879BE" w:rsidRPr="003077EB" w:rsidRDefault="00D879BE" w:rsidP="006F73D1">
      <w:pPr>
        <w:tabs>
          <w:tab w:val="left" w:pos="360"/>
        </w:tabs>
        <w:spacing w:after="160"/>
        <w:jc w:val="center"/>
        <w:rPr>
          <w:color w:val="000000" w:themeColor="text1"/>
        </w:rPr>
      </w:pPr>
      <w:r w:rsidRPr="003077EB">
        <w:rPr>
          <w:color w:val="000000" w:themeColor="text1"/>
        </w:rPr>
        <w:t>Matthew D. Hirt</w:t>
      </w:r>
    </w:p>
    <w:p w14:paraId="6CF11A51" w14:textId="29B3C589" w:rsidR="002D52B0" w:rsidRPr="00542E23" w:rsidRDefault="002D52B0" w:rsidP="006F73D1">
      <w:pPr>
        <w:tabs>
          <w:tab w:val="left" w:pos="360"/>
        </w:tabs>
        <w:spacing w:after="160"/>
        <w:jc w:val="center"/>
      </w:pPr>
      <w:r w:rsidRPr="003077EB">
        <w:rPr>
          <w:color w:val="000000" w:themeColor="text1"/>
        </w:rPr>
        <w:t xml:space="preserve">Published in </w:t>
      </w:r>
      <w:r w:rsidR="00542E23" w:rsidRPr="003077EB">
        <w:rPr>
          <w:i/>
          <w:iCs/>
          <w:color w:val="000000" w:themeColor="text1"/>
        </w:rPr>
        <w:t>Global Missiology</w:t>
      </w:r>
      <w:r w:rsidR="00542E23" w:rsidRPr="003077EB">
        <w:rPr>
          <w:color w:val="000000" w:themeColor="text1"/>
        </w:rPr>
        <w:t xml:space="preserve">, </w:t>
      </w:r>
      <w:hyperlink r:id="rId7" w:history="1">
        <w:r w:rsidR="00542E23" w:rsidRPr="003077EB">
          <w:rPr>
            <w:rStyle w:val="Hyperlink"/>
            <w:color w:val="000000" w:themeColor="text1"/>
          </w:rPr>
          <w:t>www.globalmissiology.org</w:t>
        </w:r>
      </w:hyperlink>
      <w:r w:rsidR="00542E23" w:rsidRPr="003077EB">
        <w:rPr>
          <w:color w:val="000000" w:themeColor="text1"/>
        </w:rPr>
        <w:t xml:space="preserve">, </w:t>
      </w:r>
      <w:r w:rsidR="006F73D1" w:rsidRPr="003077EB">
        <w:rPr>
          <w:color w:val="000000" w:themeColor="text1"/>
        </w:rPr>
        <w:t>April</w:t>
      </w:r>
      <w:r w:rsidR="00542E23" w:rsidRPr="003077EB">
        <w:rPr>
          <w:color w:val="000000" w:themeColor="text1"/>
        </w:rPr>
        <w:t xml:space="preserve"> </w:t>
      </w:r>
      <w:r w:rsidR="00542E23">
        <w:t>2023</w:t>
      </w:r>
    </w:p>
    <w:p w14:paraId="03ACAC5C" w14:textId="77777777" w:rsidR="00D879BE" w:rsidRDefault="00D879BE" w:rsidP="006F73D1">
      <w:pPr>
        <w:tabs>
          <w:tab w:val="left" w:pos="360"/>
        </w:tabs>
        <w:spacing w:after="160"/>
      </w:pPr>
      <w:r>
        <w:rPr>
          <w:b/>
          <w:bCs/>
        </w:rPr>
        <w:t>Abstract</w:t>
      </w:r>
    </w:p>
    <w:p w14:paraId="12301377" w14:textId="25C4F13C" w:rsidR="00D879BE" w:rsidRDefault="00D879BE" w:rsidP="006F73D1">
      <w:pPr>
        <w:tabs>
          <w:tab w:val="left" w:pos="360"/>
        </w:tabs>
        <w:spacing w:after="160"/>
        <w:jc w:val="both"/>
      </w:pPr>
      <w:r>
        <w:t xml:space="preserve">Paul declares that the Lord has gifted some as apostles, prophets, evangelists, shepherds, and teachers (Ephesians 4:11). This </w:t>
      </w:r>
      <w:r w:rsidR="003077EB">
        <w:t xml:space="preserve">article </w:t>
      </w:r>
      <w:r>
        <w:t>argue</w:t>
      </w:r>
      <w:r w:rsidR="003077EB">
        <w:t>s</w:t>
      </w:r>
      <w:r>
        <w:t xml:space="preserve"> that prophets, as defined through a missional hermeneutic, are essential to </w:t>
      </w:r>
      <w:r w:rsidR="003077EB">
        <w:t>theological education (</w:t>
      </w:r>
      <w:r>
        <w:t>TE</w:t>
      </w:r>
      <w:r w:rsidR="003077EB">
        <w:t>)</w:t>
      </w:r>
      <w:r>
        <w:t xml:space="preserve"> institutions maintaining focus on the mission of the </w:t>
      </w:r>
      <w:r w:rsidR="009275EA">
        <w:t>C</w:t>
      </w:r>
      <w:r>
        <w:t>hurch. Th</w:t>
      </w:r>
      <w:r w:rsidR="003077EB">
        <w:t>e</w:t>
      </w:r>
      <w:r>
        <w:t xml:space="preserve"> </w:t>
      </w:r>
      <w:r w:rsidR="003077EB">
        <w:t xml:space="preserve">article </w:t>
      </w:r>
      <w:r>
        <w:t>first review</w:t>
      </w:r>
      <w:r w:rsidR="003077EB">
        <w:t>s</w:t>
      </w:r>
      <w:r>
        <w:t xml:space="preserve"> four different definitions of “prophets.” </w:t>
      </w:r>
      <w:r w:rsidR="003077EB">
        <w:t>It t</w:t>
      </w:r>
      <w:r>
        <w:t>hen demonstrate</w:t>
      </w:r>
      <w:r w:rsidR="003077EB">
        <w:t>s</w:t>
      </w:r>
      <w:r>
        <w:t xml:space="preserve"> the need for the prophetic function in TE institutions by describing two forms of institutional drift. Finally, </w:t>
      </w:r>
      <w:r w:rsidR="003077EB">
        <w:t>the article</w:t>
      </w:r>
      <w:r>
        <w:t xml:space="preserve"> recommend</w:t>
      </w:r>
      <w:r w:rsidR="003077EB">
        <w:t>s</w:t>
      </w:r>
      <w:r>
        <w:t xml:space="preserve"> the role that individuals fulfilling the prophetic function may play in calling TE institutions to refocus on the missionary task.</w:t>
      </w:r>
    </w:p>
    <w:p w14:paraId="0E4F48AC" w14:textId="66ED9CDD" w:rsidR="00DF2BF2" w:rsidRPr="006F73D1" w:rsidRDefault="00D879BE" w:rsidP="006F73D1">
      <w:pPr>
        <w:tabs>
          <w:tab w:val="left" w:pos="360"/>
        </w:tabs>
        <w:spacing w:after="160"/>
      </w:pPr>
      <w:r>
        <w:rPr>
          <w:b/>
          <w:bCs/>
        </w:rPr>
        <w:t>Key Words:</w:t>
      </w:r>
      <w:r>
        <w:t xml:space="preserve"> </w:t>
      </w:r>
      <w:r w:rsidR="00556EF7">
        <w:t xml:space="preserve">APEST, drift, </w:t>
      </w:r>
      <w:r w:rsidR="002A1A5A">
        <w:t xml:space="preserve">Ephesians, prophet, </w:t>
      </w:r>
      <w:r>
        <w:t>theological education</w:t>
      </w:r>
    </w:p>
    <w:p w14:paraId="5E2A7279" w14:textId="597FDA33" w:rsidR="00CF0C84" w:rsidRDefault="001B156B" w:rsidP="006F73D1">
      <w:pPr>
        <w:tabs>
          <w:tab w:val="left" w:pos="360"/>
        </w:tabs>
        <w:spacing w:after="160"/>
        <w:jc w:val="both"/>
      </w:pPr>
      <w:r>
        <w:rPr>
          <w:b/>
          <w:bCs/>
        </w:rPr>
        <w:t>Introduction</w:t>
      </w:r>
    </w:p>
    <w:p w14:paraId="411CC951" w14:textId="7B347055" w:rsidR="003D1B15" w:rsidRDefault="00A20099" w:rsidP="006F73D1">
      <w:pPr>
        <w:tabs>
          <w:tab w:val="left" w:pos="360"/>
        </w:tabs>
        <w:spacing w:after="160"/>
        <w:jc w:val="both"/>
      </w:pPr>
      <w:r>
        <w:t xml:space="preserve">Prophets have fulfilled an important function among God’s people throughout history. While </w:t>
      </w:r>
      <w:r w:rsidR="00114168">
        <w:t>sharing a title with that of the Old Testament prophets (</w:t>
      </w:r>
      <w:proofErr w:type="spellStart"/>
      <w:r w:rsidR="00114168" w:rsidRPr="005F61C1">
        <w:rPr>
          <w:i/>
          <w:iCs/>
        </w:rPr>
        <w:t>na</w:t>
      </w:r>
      <w:r w:rsidR="005F61C1" w:rsidRPr="005F61C1">
        <w:rPr>
          <w:i/>
          <w:iCs/>
        </w:rPr>
        <w:t>̄</w:t>
      </w:r>
      <w:r w:rsidR="00114168" w:rsidRPr="005F61C1">
        <w:rPr>
          <w:i/>
          <w:iCs/>
        </w:rPr>
        <w:t>bi</w:t>
      </w:r>
      <w:proofErr w:type="spellEnd"/>
      <w:r w:rsidR="005F61C1" w:rsidRPr="005F61C1">
        <w:rPr>
          <w:i/>
          <w:iCs/>
        </w:rPr>
        <w:t>̂’</w:t>
      </w:r>
      <w:proofErr w:type="spellStart"/>
      <w:r w:rsidR="00363E6A" w:rsidRPr="005F61C1">
        <w:rPr>
          <w:i/>
          <w:iCs/>
        </w:rPr>
        <w:t>î</w:t>
      </w:r>
      <w:r w:rsidR="00363E6A">
        <w:rPr>
          <w:i/>
          <w:iCs/>
        </w:rPr>
        <w:t>m</w:t>
      </w:r>
      <w:proofErr w:type="spellEnd"/>
      <w:r w:rsidR="00114168">
        <w:t xml:space="preserve">), New Testament prophets after Pentecost </w:t>
      </w:r>
      <w:r w:rsidR="00865D6D">
        <w:t>(</w:t>
      </w:r>
      <w:proofErr w:type="spellStart"/>
      <w:r w:rsidR="00865D6D" w:rsidRPr="005F61C1">
        <w:rPr>
          <w:i/>
          <w:iCs/>
        </w:rPr>
        <w:t>prophētēs</w:t>
      </w:r>
      <w:proofErr w:type="spellEnd"/>
      <w:r w:rsidR="00865D6D">
        <w:t xml:space="preserve">) </w:t>
      </w:r>
      <w:r w:rsidR="00114168">
        <w:t xml:space="preserve">were primarily </w:t>
      </w:r>
      <w:r w:rsidR="0057345B">
        <w:t>concerned with bearing witness to Jesus</w:t>
      </w:r>
      <w:r w:rsidR="007D0EAA">
        <w:t xml:space="preserve"> (Hill 1979, 48).</w:t>
      </w:r>
      <w:r w:rsidR="00E23141">
        <w:t xml:space="preserve"> </w:t>
      </w:r>
      <w:r w:rsidR="000509BE">
        <w:t xml:space="preserve">This </w:t>
      </w:r>
      <w:r w:rsidR="00865D6D">
        <w:t>new focus mark</w:t>
      </w:r>
      <w:r w:rsidR="000509BE">
        <w:t>s a fundamental distinction between the prophetic function</w:t>
      </w:r>
      <w:r w:rsidR="00865D6D">
        <w:t>s</w:t>
      </w:r>
      <w:r w:rsidR="000509BE">
        <w:t xml:space="preserve"> in the Old and New Testament</w:t>
      </w:r>
      <w:r w:rsidR="00865D6D">
        <w:t>s</w:t>
      </w:r>
      <w:r w:rsidR="000509BE">
        <w:t xml:space="preserve"> (Heb 1:1–2</w:t>
      </w:r>
      <w:r w:rsidR="008D1615">
        <w:t>; Grudem 2000, 28–2</w:t>
      </w:r>
      <w:r w:rsidR="004421F8">
        <w:t>9</w:t>
      </w:r>
      <w:r w:rsidR="008D1615">
        <w:t xml:space="preserve"> Merkle 2022, 106)</w:t>
      </w:r>
      <w:r w:rsidR="000509BE">
        <w:t>.</w:t>
      </w:r>
    </w:p>
    <w:p w14:paraId="4BFADB20" w14:textId="25FB4508" w:rsidR="001974F1" w:rsidRDefault="003D1B15" w:rsidP="003D1B15">
      <w:pPr>
        <w:tabs>
          <w:tab w:val="left" w:pos="360"/>
        </w:tabs>
        <w:spacing w:after="160"/>
        <w:ind w:firstLine="360"/>
        <w:jc w:val="both"/>
      </w:pPr>
      <w:r>
        <w:t>As witnesses to Jesus, pr</w:t>
      </w:r>
      <w:r w:rsidR="00E23141">
        <w:t xml:space="preserve">ophets </w:t>
      </w:r>
      <w:r w:rsidR="000509BE">
        <w:t>serve</w:t>
      </w:r>
      <w:r w:rsidR="00E23141">
        <w:t xml:space="preserve"> an important function in the context of the local church. </w:t>
      </w:r>
      <w:r w:rsidR="00632D57">
        <w:t xml:space="preserve">Ephesians 4:11–13 is a </w:t>
      </w:r>
      <w:r w:rsidR="00632D57">
        <w:rPr>
          <w:i/>
          <w:iCs/>
        </w:rPr>
        <w:t>locus classicus</w:t>
      </w:r>
      <w:r w:rsidR="00632D57">
        <w:t xml:space="preserve"> for describing the order of functions in the </w:t>
      </w:r>
      <w:r w:rsidR="009275EA">
        <w:t>E</w:t>
      </w:r>
      <w:r w:rsidR="00632D57">
        <w:t xml:space="preserve">arly </w:t>
      </w:r>
      <w:r w:rsidR="009275EA">
        <w:t>C</w:t>
      </w:r>
      <w:r w:rsidR="00632D57">
        <w:t>hurch</w:t>
      </w:r>
      <w:r w:rsidR="001974F1">
        <w:t>,</w:t>
      </w:r>
      <w:r w:rsidR="00632D57">
        <w:t xml:space="preserve"> especially as </w:t>
      </w:r>
      <w:r w:rsidR="001974F1">
        <w:t xml:space="preserve">those functions </w:t>
      </w:r>
      <w:r w:rsidR="00632D57">
        <w:t xml:space="preserve">relate to the mission of the </w:t>
      </w:r>
      <w:r w:rsidR="009275EA">
        <w:t>C</w:t>
      </w:r>
      <w:r w:rsidR="00632D57">
        <w:t>hurch</w:t>
      </w:r>
      <w:r w:rsidR="00DA3041">
        <w:t xml:space="preserve"> (Barth 2008, 478)</w:t>
      </w:r>
      <w:r w:rsidR="00632D57">
        <w:t xml:space="preserve">. </w:t>
      </w:r>
      <w:r w:rsidR="00D201AF">
        <w:t xml:space="preserve">Theological education (TE) institutions, as </w:t>
      </w:r>
      <w:r w:rsidR="00A22017">
        <w:t xml:space="preserve">partners with local churches in the mission of the </w:t>
      </w:r>
      <w:r w:rsidR="009275EA">
        <w:t>C</w:t>
      </w:r>
      <w:r w:rsidR="00A22017">
        <w:t>hurch</w:t>
      </w:r>
      <w:r w:rsidR="00D201AF">
        <w:t xml:space="preserve">, may benefit from incorporating all five </w:t>
      </w:r>
      <w:r w:rsidR="001974F1">
        <w:t xml:space="preserve">(or four: see </w:t>
      </w:r>
      <w:r w:rsidR="001974F1" w:rsidRPr="00DF4D47">
        <w:t>Merkle</w:t>
      </w:r>
      <w:r w:rsidR="001974F1">
        <w:t xml:space="preserve"> 2016, 127–128) </w:t>
      </w:r>
      <w:r w:rsidR="00D201AF">
        <w:t>functions into their faculty and administrative structures.</w:t>
      </w:r>
      <w:r w:rsidR="00630C34">
        <w:t xml:space="preserve"> </w:t>
      </w:r>
      <w:r w:rsidR="001974F1">
        <w:t xml:space="preserve">More specifically, </w:t>
      </w:r>
      <w:r w:rsidR="00784A82">
        <w:t xml:space="preserve">the prophetic </w:t>
      </w:r>
      <w:r w:rsidR="00784A82" w:rsidRPr="00FA3FF3">
        <w:t>function</w:t>
      </w:r>
      <w:r w:rsidR="00784A82">
        <w:t xml:space="preserve"> is</w:t>
      </w:r>
      <w:r w:rsidR="001974F1">
        <w:t xml:space="preserve"> particularly</w:t>
      </w:r>
      <w:r w:rsidR="00784A82">
        <w:t xml:space="preserve"> beneficial for TE institutions to provide missional focus and prevent institutional drift.</w:t>
      </w:r>
    </w:p>
    <w:p w14:paraId="53DFF494" w14:textId="73611DD7" w:rsidR="001B156B" w:rsidRDefault="00C46489" w:rsidP="00FA3FF3">
      <w:pPr>
        <w:tabs>
          <w:tab w:val="left" w:pos="360"/>
        </w:tabs>
        <w:spacing w:after="160"/>
        <w:ind w:firstLine="360"/>
        <w:jc w:val="both"/>
      </w:pPr>
      <w:r>
        <w:t xml:space="preserve">This article first </w:t>
      </w:r>
      <w:r w:rsidR="00E66889">
        <w:t>review</w:t>
      </w:r>
      <w:r w:rsidR="00F551AC">
        <w:t>s</w:t>
      </w:r>
      <w:r w:rsidR="00E66889">
        <w:t xml:space="preserve"> four different understandings of prophets in contemporary global theology and build</w:t>
      </w:r>
      <w:r w:rsidR="00F551AC">
        <w:t>s</w:t>
      </w:r>
      <w:r w:rsidR="00E66889">
        <w:t xml:space="preserve"> on the evangelical idea</w:t>
      </w:r>
      <w:r w:rsidR="00F551AC">
        <w:t xml:space="preserve"> of</w:t>
      </w:r>
      <w:r w:rsidR="00E66889">
        <w:t xml:space="preserve"> “prophetic function” as opposed to </w:t>
      </w:r>
      <w:r w:rsidR="00F551AC">
        <w:t xml:space="preserve">that of </w:t>
      </w:r>
      <w:r w:rsidR="00E66889">
        <w:t xml:space="preserve">the prophetic </w:t>
      </w:r>
      <w:r w:rsidR="00E66889" w:rsidRPr="00FA3FF3">
        <w:rPr>
          <w:i/>
          <w:iCs/>
        </w:rPr>
        <w:t>role</w:t>
      </w:r>
      <w:r w:rsidR="00E66889">
        <w:t xml:space="preserve"> or </w:t>
      </w:r>
      <w:r w:rsidR="00E66889" w:rsidRPr="00FA3FF3">
        <w:rPr>
          <w:i/>
          <w:iCs/>
        </w:rPr>
        <w:t>office</w:t>
      </w:r>
      <w:r w:rsidR="00E66889">
        <w:t xml:space="preserve"> held by traditional Pentecostals and</w:t>
      </w:r>
      <w:r w:rsidR="00687355">
        <w:t xml:space="preserve"> the</w:t>
      </w:r>
      <w:r w:rsidR="00E66889">
        <w:t xml:space="preserve"> New Apostolic Reformation (NAR). Second, </w:t>
      </w:r>
      <w:r>
        <w:t xml:space="preserve">two different forms of institutional drift common </w:t>
      </w:r>
      <w:r w:rsidR="00B47EF7">
        <w:t>within</w:t>
      </w:r>
      <w:r>
        <w:t xml:space="preserve"> TE institutions</w:t>
      </w:r>
      <w:r w:rsidR="00E66889">
        <w:t xml:space="preserve"> </w:t>
      </w:r>
      <w:r w:rsidR="00F551AC">
        <w:t>are briefly surveyed,</w:t>
      </w:r>
      <w:r w:rsidR="00E66889">
        <w:t xml:space="preserve"> demonstrat</w:t>
      </w:r>
      <w:r w:rsidR="00F551AC">
        <w:t>ing</w:t>
      </w:r>
      <w:r w:rsidR="00E66889">
        <w:t xml:space="preserve"> the need for the prophetic function in TE institutions</w:t>
      </w:r>
      <w:r>
        <w:t xml:space="preserve">. Finally, the potential impact for TE institutions </w:t>
      </w:r>
      <w:r w:rsidR="00D04122">
        <w:t>will be assessed.</w:t>
      </w:r>
    </w:p>
    <w:p w14:paraId="470BC554" w14:textId="439D8792" w:rsidR="00E66889" w:rsidRDefault="00E66889" w:rsidP="005C642A">
      <w:pPr>
        <w:tabs>
          <w:tab w:val="left" w:pos="360"/>
        </w:tabs>
        <w:spacing w:after="160"/>
        <w:jc w:val="both"/>
      </w:pPr>
      <w:r>
        <w:rPr>
          <w:b/>
          <w:bCs/>
        </w:rPr>
        <w:t>Prophets: Four Views</w:t>
      </w:r>
    </w:p>
    <w:p w14:paraId="299DF1D9" w14:textId="505FADB5" w:rsidR="00E66889" w:rsidRDefault="00E66889" w:rsidP="005C642A">
      <w:pPr>
        <w:tabs>
          <w:tab w:val="left" w:pos="360"/>
        </w:tabs>
        <w:spacing w:after="160"/>
        <w:jc w:val="both"/>
      </w:pPr>
      <w:r>
        <w:t>The discussion about prophets and the role of prophets in churches has been a resurgent topic in the last three decades</w:t>
      </w:r>
      <w:r w:rsidR="002E4AA4">
        <w:t xml:space="preserve"> (</w:t>
      </w:r>
      <w:r w:rsidR="00507F78">
        <w:t xml:space="preserve">Hamon </w:t>
      </w:r>
      <w:r w:rsidR="00AE456A">
        <w:t xml:space="preserve">1987; </w:t>
      </w:r>
      <w:r w:rsidR="004212C9">
        <w:t xml:space="preserve">Wagner 1999; </w:t>
      </w:r>
      <w:r w:rsidR="00406005">
        <w:t>Grudem 2000</w:t>
      </w:r>
      <w:r w:rsidR="002E4AA4">
        <w:t>)</w:t>
      </w:r>
      <w:r>
        <w:t>. This conversation has often been unclear as individuals with different emphases and theological distinctions have brought their own definition of prophets to the table without explaining their meaning. The core of the conversation revolves around how “prophets” should be understood in the context of Ephesians 4:11–12:</w:t>
      </w:r>
      <w:r w:rsidRPr="006C00C1">
        <w:rPr>
          <w:rFonts w:ascii="Calibri" w:hAnsi="Calibri" w:cs="Calibri"/>
          <w:szCs w:val="24"/>
        </w:rPr>
        <w:t xml:space="preserve"> </w:t>
      </w:r>
      <w:r>
        <w:rPr>
          <w:rFonts w:ascii="Calibri" w:hAnsi="Calibri" w:cs="Calibri"/>
          <w:szCs w:val="24"/>
        </w:rPr>
        <w:t>“</w:t>
      </w:r>
      <w:r w:rsidRPr="009D5005">
        <w:t>And he himself gave some to be apostles, some prophets, some evangelists, some pastors and teachers,</w:t>
      </w:r>
      <w:r w:rsidRPr="009D5005">
        <w:rPr>
          <w:b/>
          <w:vertAlign w:val="superscript"/>
        </w:rPr>
        <w:t> </w:t>
      </w:r>
      <w:r w:rsidRPr="009D5005">
        <w:t>to equip the saints for the work of ministry, to build up the body of Christ.</w:t>
      </w:r>
      <w:r>
        <w:t xml:space="preserve">” At least </w:t>
      </w:r>
      <w:r w:rsidR="008D4DE3">
        <w:lastRenderedPageBreak/>
        <w:t>four</w:t>
      </w:r>
      <w:r>
        <w:t xml:space="preserve"> branches of thinking have emerged related to the understanding of prophets: New Apostolic Reformation, traditional Pentecostal, and two different evangelical understandings.</w:t>
      </w:r>
      <w:r w:rsidR="007A30CE">
        <w:t xml:space="preserve"> </w:t>
      </w:r>
      <w:proofErr w:type="gramStart"/>
      <w:r w:rsidR="007A30CE">
        <w:t>In evaluating these different views, it</w:t>
      </w:r>
      <w:proofErr w:type="gramEnd"/>
      <w:r w:rsidR="007A30CE">
        <w:t xml:space="preserve"> must be </w:t>
      </w:r>
      <w:r w:rsidR="003E5F20">
        <w:t>emphasized</w:t>
      </w:r>
      <w:r w:rsidR="007A30CE">
        <w:t xml:space="preserve"> that the purpose of these gifted people is to prepare Christians to engage in </w:t>
      </w:r>
      <w:r w:rsidR="00DB551D">
        <w:t>various aspects of the</w:t>
      </w:r>
      <w:r w:rsidR="007A30CE">
        <w:t xml:space="preserve"> </w:t>
      </w:r>
      <w:r w:rsidR="00DB551D">
        <w:t>missionary task.</w:t>
      </w:r>
      <w:r w:rsidR="00605650">
        <w:t xml:space="preserve"> Ephesians 4:12 is clear that the various individuals are called to work together to build up the </w:t>
      </w:r>
      <w:r w:rsidR="009275EA">
        <w:t>C</w:t>
      </w:r>
      <w:r w:rsidR="00605650">
        <w:t>hurch to prepare them to carry out the mission</w:t>
      </w:r>
      <w:r w:rsidR="001D1419">
        <w:t xml:space="preserve"> of the </w:t>
      </w:r>
      <w:r w:rsidR="009275EA">
        <w:t>C</w:t>
      </w:r>
      <w:r w:rsidR="001D1419">
        <w:t>hurch</w:t>
      </w:r>
      <w:r w:rsidR="006245F4">
        <w:t xml:space="preserve"> (Silva 2014, </w:t>
      </w:r>
      <w:r w:rsidR="00733E78">
        <w:t>270)</w:t>
      </w:r>
      <w:r w:rsidR="001D1419">
        <w:t>.</w:t>
      </w:r>
      <w:r w:rsidR="00630C34">
        <w:rPr>
          <w:rStyle w:val="EndnoteReference"/>
        </w:rPr>
        <w:endnoteReference w:id="1"/>
      </w:r>
      <w:r w:rsidR="00630C34">
        <w:t xml:space="preserve"> </w:t>
      </w:r>
      <w:r w:rsidR="001D1419">
        <w:t xml:space="preserve">Furthermore, </w:t>
      </w:r>
      <w:r w:rsidR="0028507A">
        <w:t xml:space="preserve">Ephesians 4:13–15 does not indicate any kind of hierarchy among these gifts. Instead, the individuals are called to work together in unity </w:t>
      </w:r>
      <w:r w:rsidR="00C056F7">
        <w:t>and love towards equipping the saints to fulfill the Great Commission.</w:t>
      </w:r>
    </w:p>
    <w:p w14:paraId="4E9E8067" w14:textId="6B40FCFC" w:rsidR="00E66889" w:rsidRDefault="00E66889" w:rsidP="005C642A">
      <w:pPr>
        <w:tabs>
          <w:tab w:val="left" w:pos="360"/>
        </w:tabs>
        <w:spacing w:after="160"/>
        <w:jc w:val="both"/>
      </w:pPr>
      <w:r>
        <w:rPr>
          <w:i/>
          <w:iCs/>
        </w:rPr>
        <w:t>New Apostolic Reformation</w:t>
      </w:r>
    </w:p>
    <w:p w14:paraId="31B0E19C" w14:textId="2AF2555D" w:rsidR="00E66889" w:rsidRDefault="00244EB0" w:rsidP="005C642A">
      <w:pPr>
        <w:tabs>
          <w:tab w:val="left" w:pos="360"/>
        </w:tabs>
        <w:spacing w:after="160"/>
        <w:jc w:val="both"/>
      </w:pPr>
      <w:r>
        <w:t xml:space="preserve">C. Peter </w:t>
      </w:r>
      <w:r w:rsidR="00E66889">
        <w:t>Wagner insists that the New Apostolic Reformation (NAR) is “an extraordinary work of God at the close of the twentieth century, which is, to a significant extent, changing the shape of Protestant Christianity around the world”</w:t>
      </w:r>
      <w:r w:rsidR="006A15FC">
        <w:t xml:space="preserve"> (Wagner 1999, 5).</w:t>
      </w:r>
      <w:r w:rsidR="00E66889">
        <w:t xml:space="preserve"> Wagner further </w:t>
      </w:r>
      <w:r w:rsidR="00376958">
        <w:t>insists</w:t>
      </w:r>
      <w:r w:rsidR="00E66889">
        <w:t xml:space="preserve"> that the changes are not doctrinal, “But the quality of church life, the governance of the church, the worship, the theology of prayer, the missional goals, the optimistic vision for the future, and other features, constitute quite a change from traditional Protestantism”</w:t>
      </w:r>
      <w:r w:rsidR="007432AA">
        <w:t xml:space="preserve"> (Wagner 2011).</w:t>
      </w:r>
      <w:r w:rsidR="00E66889">
        <w:t xml:space="preserve"> One of the defining features of NAR is a method of church governance based on Ephesians 4:11–12 with </w:t>
      </w:r>
      <w:r w:rsidR="004032FC">
        <w:t>a</w:t>
      </w:r>
      <w:r w:rsidR="00E66889">
        <w:t>postles at the top of a “divine order” followed by prophets</w:t>
      </w:r>
      <w:r w:rsidR="00A90902">
        <w:t xml:space="preserve"> (</w:t>
      </w:r>
      <w:r w:rsidR="00D62107" w:rsidRPr="00464062">
        <w:t>Hamon</w:t>
      </w:r>
      <w:r w:rsidR="00F73867" w:rsidRPr="00464062">
        <w:t xml:space="preserve"> 19</w:t>
      </w:r>
      <w:r w:rsidR="00F602B2" w:rsidRPr="00464062">
        <w:t>9</w:t>
      </w:r>
      <w:r w:rsidR="00F73867" w:rsidRPr="00464062">
        <w:t xml:space="preserve">7, </w:t>
      </w:r>
      <w:r w:rsidR="00464062" w:rsidRPr="00464062">
        <w:t>54</w:t>
      </w:r>
      <w:r w:rsidR="00F73867">
        <w:t xml:space="preserve">; </w:t>
      </w:r>
      <w:r w:rsidR="00A90902">
        <w:t>Dent 2019,</w:t>
      </w:r>
      <w:r w:rsidR="00D62107">
        <w:t xml:space="preserve"> 24–26</w:t>
      </w:r>
      <w:r w:rsidR="00F73867">
        <w:t>)</w:t>
      </w:r>
      <w:r w:rsidR="00E66889">
        <w:t>.</w:t>
      </w:r>
    </w:p>
    <w:p w14:paraId="2BD15846" w14:textId="09BD1FB1" w:rsidR="000C744B" w:rsidRDefault="00E66889" w:rsidP="006F73D1">
      <w:pPr>
        <w:tabs>
          <w:tab w:val="left" w:pos="360"/>
        </w:tabs>
        <w:spacing w:after="160"/>
        <w:ind w:firstLine="360"/>
        <w:jc w:val="both"/>
      </w:pPr>
      <w:r>
        <w:t xml:space="preserve">Wagner bases his understanding of the role of prophets on Amos 3:7 and 2 Chronicles 20:20. He explains that “Every apostle needs alignment with prophets and every prophet needs apostolic alignment” (Wagner 2011). In a more critical treatment, </w:t>
      </w:r>
      <w:proofErr w:type="spellStart"/>
      <w:r>
        <w:t>Geivett</w:t>
      </w:r>
      <w:proofErr w:type="spellEnd"/>
      <w:r>
        <w:t xml:space="preserve"> and </w:t>
      </w:r>
      <w:proofErr w:type="spellStart"/>
      <w:r>
        <w:t>Pivec</w:t>
      </w:r>
      <w:proofErr w:type="spellEnd"/>
      <w:r>
        <w:t xml:space="preserve"> explain that those who hold to the NAR view “affirm the existence of prophets comparable to the great Old Testament prophets and who possess extraordinary authority extending to individuals, churches, and nations. NAR leaders hold that these prophets govern the church and reveal new truths, which are often described as strategies for advancing God’s kingdom”</w:t>
      </w:r>
      <w:r w:rsidR="00CA59B5">
        <w:t xml:space="preserve"> </w:t>
      </w:r>
      <w:r w:rsidR="00005891">
        <w:t>(</w:t>
      </w:r>
      <w:proofErr w:type="spellStart"/>
      <w:r w:rsidR="00005891">
        <w:t>Geivett</w:t>
      </w:r>
      <w:proofErr w:type="spellEnd"/>
      <w:r w:rsidR="00005891">
        <w:t xml:space="preserve"> and </w:t>
      </w:r>
      <w:proofErr w:type="spellStart"/>
      <w:r w:rsidR="00005891">
        <w:t>Pivec</w:t>
      </w:r>
      <w:proofErr w:type="spellEnd"/>
      <w:r w:rsidR="00005891">
        <w:t xml:space="preserve"> 2014, 99).</w:t>
      </w:r>
    </w:p>
    <w:p w14:paraId="4FDABA29" w14:textId="5D044BB3" w:rsidR="00E66889" w:rsidRPr="00243A6E" w:rsidRDefault="00E66889" w:rsidP="006F73D1">
      <w:pPr>
        <w:tabs>
          <w:tab w:val="left" w:pos="360"/>
        </w:tabs>
        <w:spacing w:after="160"/>
        <w:ind w:firstLine="360"/>
        <w:jc w:val="both"/>
      </w:pPr>
      <w:r>
        <w:t>Apart from arguing for a radical departure from traditional Protestant doctrine, the NAR understanding of prophecy raises at least one significant problem for theological education</w:t>
      </w:r>
      <w:r w:rsidR="000C744B">
        <w:t xml:space="preserve">: </w:t>
      </w:r>
      <w:r>
        <w:t xml:space="preserve">prophets (and apostles) hold </w:t>
      </w:r>
      <w:r w:rsidR="007F74E0">
        <w:t>unquestionable</w:t>
      </w:r>
      <w:r>
        <w:t xml:space="preserve"> authority when they speak. Even </w:t>
      </w:r>
      <w:r w:rsidR="000C744B">
        <w:t xml:space="preserve">if </w:t>
      </w:r>
      <w:r>
        <w:t xml:space="preserve">a so-called prophet </w:t>
      </w:r>
      <w:r w:rsidR="000C744B">
        <w:t xml:space="preserve">were to </w:t>
      </w:r>
      <w:r>
        <w:t>teach something that is in error or contrary to Scripture, the prophet is placed in a position of authority that cannot be corrected or even questioned. Haman explains</w:t>
      </w:r>
      <w:r w:rsidR="009B0897">
        <w:t>:</w:t>
      </w:r>
      <w:r>
        <w:t xml:space="preserve"> “One of the quickest ways to get in trouble with God is to falsely accuse one of Christ’s true prophets. When we do that, we are touching the very nerve of Heaven, and we are sure to receive a negative reaction. God says in His Word, ‘</w:t>
      </w:r>
      <w:r>
        <w:rPr>
          <w:i/>
          <w:iCs/>
        </w:rPr>
        <w:t>Do My prophets no harm’</w:t>
      </w:r>
      <w:r>
        <w:t xml:space="preserve"> (1 Chron 16:22)”</w:t>
      </w:r>
      <w:r w:rsidR="003655CC">
        <w:t xml:space="preserve"> (Hamon 1987, 160).</w:t>
      </w:r>
      <w:r>
        <w:t xml:space="preserve"> </w:t>
      </w:r>
      <w:r w:rsidR="00FB4564">
        <w:t>Hence</w:t>
      </w:r>
      <w:r>
        <w:t xml:space="preserve"> if NAR prophets </w:t>
      </w:r>
      <w:r w:rsidR="00FB4564">
        <w:t xml:space="preserve">were </w:t>
      </w:r>
      <w:r>
        <w:t xml:space="preserve">in </w:t>
      </w:r>
      <w:r w:rsidR="00F76F27">
        <w:t>a seminary</w:t>
      </w:r>
      <w:r>
        <w:t xml:space="preserve"> classroom</w:t>
      </w:r>
      <w:r w:rsidR="00FB4564">
        <w:t>—either as a student or professor—</w:t>
      </w:r>
      <w:r>
        <w:t xml:space="preserve">their presence would significantly undermine the educational process which requires developing critical thinking skills, proper hermeneutical method, and contextual application. A prophet making authoritative declarations regarding the interpretation of Scripture allows for little or no room for critical thinking and raising crucial questions to the teacher. It is outside the scope of this </w:t>
      </w:r>
      <w:r w:rsidR="00FB4564">
        <w:t xml:space="preserve">article </w:t>
      </w:r>
      <w:r>
        <w:t xml:space="preserve">to completely refute the NAR understanding of prophets, </w:t>
      </w:r>
      <w:r w:rsidR="004056D1">
        <w:t>but the NAR view of prophets would mean that prophets have no role to play in TE institutions in preparing students to engage in the missionary task.</w:t>
      </w:r>
    </w:p>
    <w:p w14:paraId="2881AFB4" w14:textId="20466724" w:rsidR="00E66889" w:rsidRDefault="00E66889" w:rsidP="005C642A">
      <w:pPr>
        <w:tabs>
          <w:tab w:val="left" w:pos="360"/>
        </w:tabs>
        <w:spacing w:after="160"/>
        <w:jc w:val="both"/>
      </w:pPr>
      <w:r>
        <w:rPr>
          <w:i/>
          <w:iCs/>
        </w:rPr>
        <w:t>Traditional Pentecostal</w:t>
      </w:r>
    </w:p>
    <w:p w14:paraId="123E41E4" w14:textId="261A3DD8" w:rsidR="00E66889" w:rsidRDefault="00E66889" w:rsidP="005C642A">
      <w:pPr>
        <w:tabs>
          <w:tab w:val="left" w:pos="360"/>
        </w:tabs>
        <w:spacing w:after="160"/>
        <w:jc w:val="both"/>
      </w:pPr>
      <w:r>
        <w:t>The traditional Pentecostal view noticeably differs from the NAR position, and many traditional Pentecostals have sought to distance themselves from the NAR</w:t>
      </w:r>
      <w:r w:rsidR="002617D7">
        <w:t xml:space="preserve"> (Prophetic Standards Statement </w:t>
      </w:r>
      <w:r w:rsidR="002617D7">
        <w:lastRenderedPageBreak/>
        <w:t>2022</w:t>
      </w:r>
      <w:r w:rsidR="00461EB9">
        <w:t>; NAR and Christian Nationalism Statement 2022</w:t>
      </w:r>
      <w:r w:rsidR="002617D7">
        <w:t>)</w:t>
      </w:r>
      <w:r>
        <w:t>. While Pentecostals similarly tend to see Ephesians 4:11 referring to specific ministry roles or offices, at least some assert that the emphasis in Ephesians 4:11–12 is on the work of ministry given to all the saints</w:t>
      </w:r>
      <w:r w:rsidR="002B0B84">
        <w:t xml:space="preserve"> (Assemblies of God Position Paper </w:t>
      </w:r>
      <w:r w:rsidR="00C83CB5">
        <w:t>2001)</w:t>
      </w:r>
      <w:r>
        <w:t>. Some Pentecostals also see a distinction between the office of prophet and gift of prophecy.</w:t>
      </w:r>
      <w:r w:rsidR="00C83CB5">
        <w:t xml:space="preserve"> For example, The Assemblies of God </w:t>
      </w:r>
      <w:r w:rsidR="00FB4564">
        <w:t xml:space="preserve">(AG) </w:t>
      </w:r>
      <w:r w:rsidR="00F375ED">
        <w:t>largely define the apostolic function as relating to what many would call missionary activity.</w:t>
      </w:r>
    </w:p>
    <w:p w14:paraId="0D3942C6" w14:textId="312DC0E0" w:rsidR="00594E9A" w:rsidRDefault="00E66889" w:rsidP="006F73D1">
      <w:pPr>
        <w:tabs>
          <w:tab w:val="left" w:pos="360"/>
        </w:tabs>
        <w:spacing w:after="160"/>
        <w:ind w:firstLine="360"/>
        <w:jc w:val="both"/>
      </w:pPr>
      <w:r>
        <w:t>The traditional Pentecostal view is carefully nuanced. While there is a desire to remain open to the possibility of new direct revelation from God, there is also much more interest in focusing on the prophecy as proclamation of Christ. The AG position paper explains</w:t>
      </w:r>
      <w:r w:rsidR="001F599F">
        <w:t xml:space="preserve"> that</w:t>
      </w:r>
      <w:r>
        <w:t xml:space="preserve"> “the theme of Acts is that every believer receives the power of the Holy Spirit to be a prophetic witness to the risen Lord Jesus Christ (Acts 1:8)”</w:t>
      </w:r>
      <w:r w:rsidR="003D4E20">
        <w:t xml:space="preserve"> (Assemblies of God Position Paper 2001). </w:t>
      </w:r>
      <w:r>
        <w:t xml:space="preserve">Craig Keener further explains that the Book of Acts “portrays the broader activity of </w:t>
      </w:r>
      <w:proofErr w:type="spellStart"/>
      <w:r>
        <w:t>christocentric</w:t>
      </w:r>
      <w:proofErr w:type="spellEnd"/>
      <w:r>
        <w:t xml:space="preserve"> testimony (Acts 1:8) as inspired speech, undoubtedly one reason that ‘the word of the Lord’ in Acts, as in Paul, normally refers to the good news”</w:t>
      </w:r>
      <w:r w:rsidR="00051DF0">
        <w:t xml:space="preserve"> (Keener 2012, </w:t>
      </w:r>
      <w:r w:rsidR="00E2658D">
        <w:t>910)</w:t>
      </w:r>
      <w:r w:rsidR="00594E9A">
        <w:t>.</w:t>
      </w:r>
    </w:p>
    <w:p w14:paraId="3BEAC33A" w14:textId="7F1FD15A" w:rsidR="00E66889" w:rsidRDefault="00E66889" w:rsidP="00FA3FF3">
      <w:pPr>
        <w:tabs>
          <w:tab w:val="left" w:pos="360"/>
        </w:tabs>
        <w:spacing w:after="160"/>
        <w:jc w:val="both"/>
      </w:pPr>
      <w:r>
        <w:t xml:space="preserve">This </w:t>
      </w:r>
      <w:r w:rsidR="00594E9A">
        <w:t xml:space="preserve">Pentecostal </w:t>
      </w:r>
      <w:r>
        <w:t>Christocentric focus on gospel proclamation has relevance for theological education</w:t>
      </w:r>
      <w:r w:rsidR="00B81E40">
        <w:t>.</w:t>
      </w:r>
      <w:r w:rsidR="00594E9A">
        <w:t xml:space="preserve"> In particular</w:t>
      </w:r>
      <w:r>
        <w:t>, students receiving theological education need to see how each subject they study should propel them to proclamation of the gospel.</w:t>
      </w:r>
      <w:r w:rsidR="00213505">
        <w:t xml:space="preserve"> P</w:t>
      </w:r>
      <w:r>
        <w:t>rophets may “bring correction, instruction, and directional clarity to the Body, but not independent of other leaders, and therefore different from the model of the independent Old Testament prophet”</w:t>
      </w:r>
      <w:r w:rsidR="00AB479C">
        <w:t xml:space="preserve"> (Prophetic Standards Statement, 2022).</w:t>
      </w:r>
      <w:r>
        <w:t xml:space="preserve"> This application of the traditional Pentecostal definition of prophecy is helpful for TE institutions, and it overlaps with some of the implications </w:t>
      </w:r>
      <w:r w:rsidR="00F21FBE">
        <w:t>of</w:t>
      </w:r>
      <w:r>
        <w:t xml:space="preserve"> the evangelical views below. However, the aspect of the traditional Pentecostal definition that allows for ongoing direct revelation from God has little relevance for formal theological education. Even if one holds to the traditional Pentecostal view, the revelatory function of prophecy primarily belongs to the context of the local church</w:t>
      </w:r>
      <w:r w:rsidR="00D0142E">
        <w:t xml:space="preserve"> (Keener 2012, 910; </w:t>
      </w:r>
      <w:proofErr w:type="spellStart"/>
      <w:r w:rsidR="00D0142E">
        <w:t>Thiselton</w:t>
      </w:r>
      <w:proofErr w:type="spellEnd"/>
      <w:r w:rsidR="00D0142E">
        <w:t xml:space="preserve"> 2000, 1134)</w:t>
      </w:r>
      <w:r>
        <w:t>. Since seminaries and Bible colleges are not churches, the revelatory function would be out of place in TE institutions.</w:t>
      </w:r>
    </w:p>
    <w:p w14:paraId="61912C00" w14:textId="5084C6E8" w:rsidR="00E66889" w:rsidRDefault="00E66889" w:rsidP="005C642A">
      <w:pPr>
        <w:tabs>
          <w:tab w:val="left" w:pos="360"/>
        </w:tabs>
        <w:spacing w:after="160"/>
        <w:jc w:val="both"/>
      </w:pPr>
      <w:r>
        <w:rPr>
          <w:i/>
          <w:iCs/>
        </w:rPr>
        <w:t>Two Evangelical View</w:t>
      </w:r>
      <w:r w:rsidR="00F21FBE">
        <w:rPr>
          <w:i/>
          <w:iCs/>
        </w:rPr>
        <w:t xml:space="preserve">s: </w:t>
      </w:r>
      <w:r>
        <w:rPr>
          <w:i/>
          <w:iCs/>
        </w:rPr>
        <w:t xml:space="preserve">Preaching </w:t>
      </w:r>
      <w:r w:rsidR="00D530DE">
        <w:rPr>
          <w:i/>
          <w:iCs/>
        </w:rPr>
        <w:t>and</w:t>
      </w:r>
      <w:r>
        <w:rPr>
          <w:i/>
          <w:iCs/>
        </w:rPr>
        <w:t xml:space="preserve"> Function</w:t>
      </w:r>
    </w:p>
    <w:p w14:paraId="1951E92C" w14:textId="3E90DF2C" w:rsidR="00E66889" w:rsidRDefault="00E66889" w:rsidP="005C642A">
      <w:pPr>
        <w:tabs>
          <w:tab w:val="left" w:pos="360"/>
        </w:tabs>
        <w:spacing w:after="160"/>
        <w:jc w:val="both"/>
      </w:pPr>
      <w:r>
        <w:t xml:space="preserve">A distinguishing characteristic of the evangelical view is that Ephesians 4:11 is a list of gifts rather than </w:t>
      </w:r>
      <w:r w:rsidR="00594E9A">
        <w:t xml:space="preserve">of </w:t>
      </w:r>
      <w:r>
        <w:t>roles or offices</w:t>
      </w:r>
      <w:r w:rsidR="00BA0823">
        <w:t xml:space="preserve"> (Merkle 2016, 127)</w:t>
      </w:r>
      <w:r>
        <w:t xml:space="preserve">. However, some </w:t>
      </w:r>
      <w:r w:rsidR="005C4CEB">
        <w:t>E</w:t>
      </w:r>
      <w:r>
        <w:t xml:space="preserve">vangelicals differ on the specific nature of these gifts especially as it relates to the gift of prophets. Some </w:t>
      </w:r>
      <w:r w:rsidR="005C4CEB">
        <w:t>E</w:t>
      </w:r>
      <w:r>
        <w:t xml:space="preserve">vangelicals hold to the view that prophecy in the New Testament is primarily related to expositional preaching. </w:t>
      </w:r>
      <w:proofErr w:type="spellStart"/>
      <w:r>
        <w:t>Dever</w:t>
      </w:r>
      <w:proofErr w:type="spellEnd"/>
      <w:r>
        <w:t xml:space="preserve"> </w:t>
      </w:r>
      <w:r w:rsidR="00511AA2">
        <w:t>draws</w:t>
      </w:r>
      <w:r>
        <w:t xml:space="preserve"> this </w:t>
      </w:r>
      <w:r w:rsidR="00511AA2">
        <w:t>correlation</w:t>
      </w:r>
      <w:r>
        <w:t xml:space="preserve"> asserting, “The Old Testament prophets and the New Testament apostles were given not a personal commission to go and speak, but a particular message to deliver. Likewise Christian preachers today have authority to speak from God only so long as they speak his message and unfold his words”</w:t>
      </w:r>
      <w:r w:rsidR="00870190">
        <w:t xml:space="preserve"> (</w:t>
      </w:r>
      <w:proofErr w:type="spellStart"/>
      <w:r w:rsidR="00870190">
        <w:t>Dever</w:t>
      </w:r>
      <w:proofErr w:type="spellEnd"/>
      <w:r w:rsidR="00870190">
        <w:t xml:space="preserve"> 2021, 46).</w:t>
      </w:r>
      <w:r>
        <w:t xml:space="preserve"> MacArthur similarly argues that apostles and prophets continued to operate through the duration of the </w:t>
      </w:r>
      <w:r w:rsidR="009275EA">
        <w:t>C</w:t>
      </w:r>
      <w:r>
        <w:t>hurch described in the New Testament, but “as they continued to serve the church, the evangelists and pastors and teachers did pick up the baton from the first generation apostles and prophets”</w:t>
      </w:r>
      <w:r w:rsidR="00B37719">
        <w:t xml:space="preserve"> (MacArthur 1986, </w:t>
      </w:r>
      <w:r w:rsidR="00196B42">
        <w:t>142).</w:t>
      </w:r>
      <w:r w:rsidR="00630C34">
        <w:t xml:space="preserve"> </w:t>
      </w:r>
      <w:r>
        <w:t xml:space="preserve">Despite some </w:t>
      </w:r>
      <w:r w:rsidR="00A8409A">
        <w:t xml:space="preserve">positive aspects </w:t>
      </w:r>
      <w:r>
        <w:t xml:space="preserve">to the arguments from </w:t>
      </w:r>
      <w:proofErr w:type="spellStart"/>
      <w:r>
        <w:t>Dever</w:t>
      </w:r>
      <w:proofErr w:type="spellEnd"/>
      <w:r>
        <w:t xml:space="preserve"> and MacArthur</w:t>
      </w:r>
      <w:r w:rsidR="00220CD7">
        <w:t xml:space="preserve">, </w:t>
      </w:r>
      <w:r w:rsidR="002C0910">
        <w:t xml:space="preserve">other Evangelicals argue that </w:t>
      </w:r>
      <w:r w:rsidR="00096058">
        <w:t>expository</w:t>
      </w:r>
      <w:r w:rsidR="00206164">
        <w:t xml:space="preserve"> preaching and prophecy are not synonymous</w:t>
      </w:r>
      <w:r w:rsidR="001A04AA">
        <w:t xml:space="preserve"> (</w:t>
      </w:r>
      <w:r w:rsidR="00DE3F6E">
        <w:t>Knights 2018, 79)</w:t>
      </w:r>
      <w:r w:rsidR="00206164">
        <w:t>.</w:t>
      </w:r>
    </w:p>
    <w:p w14:paraId="2CEC5B21" w14:textId="7B702674" w:rsidR="00213505" w:rsidRDefault="00E66889" w:rsidP="006F73D1">
      <w:pPr>
        <w:tabs>
          <w:tab w:val="left" w:pos="360"/>
        </w:tabs>
        <w:spacing w:after="160"/>
        <w:ind w:firstLine="360"/>
        <w:jc w:val="both"/>
      </w:pPr>
      <w:r>
        <w:t xml:space="preserve">An alternative </w:t>
      </w:r>
      <w:r w:rsidR="0065085F">
        <w:t xml:space="preserve">evangelical </w:t>
      </w:r>
      <w:r>
        <w:t xml:space="preserve">definition is offered by Frost and Hirsch. </w:t>
      </w:r>
      <w:r w:rsidR="005C4CEB">
        <w:t>They</w:t>
      </w:r>
      <w:r>
        <w:t xml:space="preserve"> include the prophetic function within their APEST model.</w:t>
      </w:r>
      <w:r w:rsidR="00334212">
        <w:t xml:space="preserve"> APEST is an acronym using the first letter of the five functions in Ephesians 4:11: apostles, prophets, evangelists, shepherds, and teachers</w:t>
      </w:r>
      <w:r w:rsidR="00742DAA">
        <w:t xml:space="preserve"> (Frost </w:t>
      </w:r>
      <w:r w:rsidR="00A90902">
        <w:t xml:space="preserve">&amp; </w:t>
      </w:r>
      <w:r w:rsidR="00742DAA">
        <w:t>Hirsch 2013, 205–223)</w:t>
      </w:r>
      <w:r w:rsidR="00334212">
        <w:t>.</w:t>
      </w:r>
      <w:r w:rsidR="00742DAA">
        <w:t xml:space="preserve"> </w:t>
      </w:r>
      <w:r>
        <w:t xml:space="preserve">Within the model, they explain that the “prophetic function discerns the </w:t>
      </w:r>
      <w:r>
        <w:lastRenderedPageBreak/>
        <w:t>spiritual realities in a given situation and communicates them in a timely and appropriate way to further the mission of God’s people</w:t>
      </w:r>
      <w:r w:rsidR="005C4CEB">
        <w:t>.</w:t>
      </w:r>
      <w:r>
        <w:t xml:space="preserve">” </w:t>
      </w:r>
      <w:r w:rsidR="005C4CEB">
        <w:t xml:space="preserve">Frost and Hirsch </w:t>
      </w:r>
      <w:r>
        <w:t>further indicate, “We would see a prophet as one who knows the mind of God on issues affecting the church and who speaks into the community eliciting transformation and growth</w:t>
      </w:r>
      <w:r w:rsidR="005C4CEB">
        <w:t>.</w:t>
      </w:r>
      <w:r>
        <w:t>”</w:t>
      </w:r>
      <w:r w:rsidR="00A75C49">
        <w:t xml:space="preserve"> </w:t>
      </w:r>
      <w:r>
        <w:t>Furthermore, they do not limit these functions to church leadership but emphasize that all five functions must be practiced by the whole church</w:t>
      </w:r>
      <w:r w:rsidR="00B96A09">
        <w:t xml:space="preserve"> (Frost </w:t>
      </w:r>
      <w:r w:rsidR="001B2367">
        <w:t xml:space="preserve">&amp; </w:t>
      </w:r>
      <w:r w:rsidR="00B96A09">
        <w:t xml:space="preserve">Hirsch 2013, </w:t>
      </w:r>
      <w:r w:rsidR="005C4CEB">
        <w:t>210-</w:t>
      </w:r>
      <w:r w:rsidR="00B96A09">
        <w:t>211)</w:t>
      </w:r>
      <w:r>
        <w:t xml:space="preserve">. </w:t>
      </w:r>
    </w:p>
    <w:p w14:paraId="766B0969" w14:textId="50C00E27" w:rsidR="00E66889" w:rsidRDefault="00E66889" w:rsidP="006F73D1">
      <w:pPr>
        <w:tabs>
          <w:tab w:val="left" w:pos="360"/>
        </w:tabs>
        <w:spacing w:after="160"/>
        <w:ind w:firstLine="360"/>
        <w:jc w:val="both"/>
      </w:pPr>
      <w:r>
        <w:t xml:space="preserve">Specifically relevant for TE institutions </w:t>
      </w:r>
      <w:r w:rsidR="005C4CEB">
        <w:t xml:space="preserve">is how </w:t>
      </w:r>
      <w:r>
        <w:t>someone fulfilling the prophetic function “disturbs the status quo and challenges an organization to move in new directions”</w:t>
      </w:r>
      <w:r w:rsidR="00AB1327">
        <w:t xml:space="preserve"> (Frost </w:t>
      </w:r>
      <w:r w:rsidR="001B2367">
        <w:t xml:space="preserve">&amp; </w:t>
      </w:r>
      <w:r w:rsidR="00AB1327">
        <w:t>Hirsch 2013, 214–216).</w:t>
      </w:r>
      <w:r>
        <w:t xml:space="preserve"> TE institutions need individuals on the faculty and in administration who fulfill the prophetic function</w:t>
      </w:r>
      <w:r w:rsidR="00213505">
        <w:t xml:space="preserve"> to avoid drift from the missionary task</w:t>
      </w:r>
      <w:r>
        <w:t>. TE institutions tend to seek stability (</w:t>
      </w:r>
      <w:r w:rsidR="003A6461">
        <w:t xml:space="preserve">e.g., </w:t>
      </w:r>
      <w:r>
        <w:t xml:space="preserve">financial, enrollment, faculty, administrative) and will usually resist change in favor of the status quo. The prophetic function may </w:t>
      </w:r>
      <w:r w:rsidR="003A6461">
        <w:t xml:space="preserve">thus </w:t>
      </w:r>
      <w:r>
        <w:t>be as unwelcome in theological education as it often is in the local church. Frost and Hirsch reflect, “We know numerous highly talented (APE type) people who felt a call to ministry and were told that they had no future in ordained, local church ministry…. We need to reiterate our belief that our current decline and malaise is directly linked to this loss of missional-apostolic leadership”</w:t>
      </w:r>
      <w:r w:rsidR="00444007">
        <w:t xml:space="preserve"> (Frost </w:t>
      </w:r>
      <w:r w:rsidR="001B2367">
        <w:t xml:space="preserve">&amp; </w:t>
      </w:r>
      <w:r w:rsidR="00444007">
        <w:t>Hirsch 2013, 221).</w:t>
      </w:r>
      <w:r>
        <w:t xml:space="preserve"> One of the major strengths of the APEST model is that it is firmly established on the foundation of a missional hermeneutic</w:t>
      </w:r>
      <w:r w:rsidR="00151234">
        <w:t xml:space="preserve"> (Payne 2021, 3)</w:t>
      </w:r>
      <w:r>
        <w:t>. For the</w:t>
      </w:r>
      <w:r w:rsidR="003C4CE1">
        <w:t>ir</w:t>
      </w:r>
      <w:r>
        <w:t xml:space="preserve"> long-term health and existence</w:t>
      </w:r>
      <w:r w:rsidR="003C4CE1">
        <w:t>,</w:t>
      </w:r>
      <w:r>
        <w:t xml:space="preserve"> institutions dedicated to theological training need to find a place for the prophetic function</w:t>
      </w:r>
      <w:r w:rsidR="00B62ACE">
        <w:t xml:space="preserve"> within the APEST model</w:t>
      </w:r>
      <w:r w:rsidR="00B75BC8">
        <w:t xml:space="preserve"> to prevent losing focus on the missionary task.</w:t>
      </w:r>
    </w:p>
    <w:p w14:paraId="2DD1B697" w14:textId="43E446D3" w:rsidR="002D1375" w:rsidRDefault="002D1375" w:rsidP="005C642A">
      <w:pPr>
        <w:tabs>
          <w:tab w:val="left" w:pos="360"/>
        </w:tabs>
        <w:spacing w:after="160"/>
        <w:jc w:val="both"/>
      </w:pPr>
      <w:r>
        <w:rPr>
          <w:b/>
          <w:bCs/>
        </w:rPr>
        <w:t>Institutional Mission Drift</w:t>
      </w:r>
    </w:p>
    <w:p w14:paraId="5035ACF8" w14:textId="4E0F64E8" w:rsidR="002D1375" w:rsidRDefault="003C4CE1" w:rsidP="005C642A">
      <w:pPr>
        <w:tabs>
          <w:tab w:val="left" w:pos="360"/>
        </w:tabs>
        <w:spacing w:after="160"/>
        <w:jc w:val="both"/>
      </w:pPr>
      <w:r>
        <w:t>I</w:t>
      </w:r>
      <w:r w:rsidR="001A3608">
        <w:t>ndividuals filling</w:t>
      </w:r>
      <w:r w:rsidR="00496573">
        <w:t xml:space="preserve"> the prophetic function in TE institutions </w:t>
      </w:r>
      <w:r>
        <w:t>are</w:t>
      </w:r>
      <w:r w:rsidR="006F73A2">
        <w:t xml:space="preserve"> necessary because</w:t>
      </w:r>
      <w:r w:rsidR="00496573">
        <w:t xml:space="preserve"> </w:t>
      </w:r>
      <w:r w:rsidR="006F73A2">
        <w:t>e</w:t>
      </w:r>
      <w:r w:rsidR="002D1375">
        <w:t>ver</w:t>
      </w:r>
      <w:r w:rsidR="00EA4B5E">
        <w:t>y</w:t>
      </w:r>
      <w:r w:rsidR="002D1375">
        <w:t xml:space="preserve"> institution</w:t>
      </w:r>
      <w:r w:rsidR="006F73A2">
        <w:t>, including</w:t>
      </w:r>
      <w:r w:rsidR="006949ED">
        <w:t xml:space="preserve"> </w:t>
      </w:r>
      <w:r w:rsidR="00D84974">
        <w:t>one providing</w:t>
      </w:r>
      <w:r w:rsidR="006949ED">
        <w:t xml:space="preserve"> </w:t>
      </w:r>
      <w:r w:rsidR="00D84974">
        <w:t>theological education</w:t>
      </w:r>
      <w:r w:rsidR="006F73A2">
        <w:t>,</w:t>
      </w:r>
      <w:r w:rsidR="002D1375">
        <w:t xml:space="preserve"> faces the risk of drifting from its original purpose</w:t>
      </w:r>
      <w:r w:rsidR="009849F9">
        <w:t>.</w:t>
      </w:r>
      <w:r w:rsidR="00EC45CD">
        <w:t xml:space="preserve"> </w:t>
      </w:r>
      <w:r w:rsidR="0007486A">
        <w:t xml:space="preserve">Historically, many </w:t>
      </w:r>
      <w:r w:rsidR="000E3198">
        <w:t>TE institutions</w:t>
      </w:r>
      <w:r w:rsidR="0007486A">
        <w:t xml:space="preserve"> have </w:t>
      </w:r>
      <w:r w:rsidR="00951832">
        <w:t xml:space="preserve">in fact </w:t>
      </w:r>
      <w:r w:rsidR="0007486A">
        <w:t>drifted from their original purpose</w:t>
      </w:r>
      <w:r w:rsidR="00CC083B">
        <w:t xml:space="preserve"> </w:t>
      </w:r>
      <w:r w:rsidR="00296C97">
        <w:t>(Greer &amp; Horst</w:t>
      </w:r>
      <w:r w:rsidR="001B2367">
        <w:t xml:space="preserve"> 2014</w:t>
      </w:r>
      <w:r w:rsidR="00296C97">
        <w:t xml:space="preserve">, </w:t>
      </w:r>
      <w:r w:rsidR="001B2367">
        <w:t xml:space="preserve">15, </w:t>
      </w:r>
      <w:r w:rsidR="00296C97">
        <w:t xml:space="preserve">17). </w:t>
      </w:r>
      <w:r w:rsidR="008B5761">
        <w:t xml:space="preserve">Other seminaries and Bible colleges have </w:t>
      </w:r>
      <w:r w:rsidR="00844C46">
        <w:t xml:space="preserve">formally </w:t>
      </w:r>
      <w:r w:rsidR="008B5761">
        <w:t xml:space="preserve">discontinued their </w:t>
      </w:r>
      <w:r w:rsidR="00844C46">
        <w:t>religious affiliation</w:t>
      </w:r>
      <w:r w:rsidR="00951832">
        <w:t>,</w:t>
      </w:r>
      <w:r w:rsidR="00844C46">
        <w:t xml:space="preserve"> while some have remained formally affiliated but practically indifferent towards any religious </w:t>
      </w:r>
      <w:r w:rsidR="004C1362">
        <w:t>affiliation</w:t>
      </w:r>
      <w:r w:rsidR="00B53EA3">
        <w:t xml:space="preserve"> (Finn 2018, 39–40)</w:t>
      </w:r>
      <w:r w:rsidR="00844C46">
        <w:t>.</w:t>
      </w:r>
    </w:p>
    <w:p w14:paraId="4FDDF08E" w14:textId="3AF1461D" w:rsidR="004C1362" w:rsidRDefault="008B64E3" w:rsidP="006F73D1">
      <w:pPr>
        <w:tabs>
          <w:tab w:val="left" w:pos="360"/>
        </w:tabs>
        <w:spacing w:after="160"/>
        <w:ind w:firstLine="360"/>
        <w:jc w:val="both"/>
      </w:pPr>
      <w:r>
        <w:t>TE institution</w:t>
      </w:r>
      <w:r w:rsidR="004C1362">
        <w:t xml:space="preserve">s tend to drift </w:t>
      </w:r>
      <w:r w:rsidR="00E518B6">
        <w:t xml:space="preserve">away from a missionary focus </w:t>
      </w:r>
      <w:r w:rsidR="004C1362">
        <w:t xml:space="preserve">in </w:t>
      </w:r>
      <w:r w:rsidR="00924984">
        <w:t xml:space="preserve">at least </w:t>
      </w:r>
      <w:r w:rsidR="004C1362">
        <w:t xml:space="preserve">two ways. First, </w:t>
      </w:r>
      <w:r>
        <w:t>TE institution</w:t>
      </w:r>
      <w:r w:rsidR="004C1362">
        <w:t>s tend to drift towards producing scholars as an end to itself.</w:t>
      </w:r>
      <w:r>
        <w:t xml:space="preserve"> </w:t>
      </w:r>
      <w:r w:rsidR="00833618">
        <w:t xml:space="preserve">Second, </w:t>
      </w:r>
      <w:r>
        <w:t>TE institution</w:t>
      </w:r>
      <w:r w:rsidR="00833618">
        <w:t xml:space="preserve">s </w:t>
      </w:r>
      <w:r w:rsidR="00437E9A">
        <w:t xml:space="preserve">tend to </w:t>
      </w:r>
      <w:r w:rsidR="00833618">
        <w:t>drift toward an inward focus and institutional preservation.</w:t>
      </w:r>
    </w:p>
    <w:p w14:paraId="0908EDA0" w14:textId="38DB8BCE" w:rsidR="00833618" w:rsidRDefault="00833618" w:rsidP="005C642A">
      <w:pPr>
        <w:tabs>
          <w:tab w:val="left" w:pos="360"/>
        </w:tabs>
        <w:spacing w:after="160"/>
        <w:jc w:val="both"/>
      </w:pPr>
      <w:r>
        <w:rPr>
          <w:i/>
          <w:iCs/>
        </w:rPr>
        <w:t>Drift Toward Scholarship</w:t>
      </w:r>
    </w:p>
    <w:p w14:paraId="6B39B273" w14:textId="5A423718" w:rsidR="00833618" w:rsidRDefault="00833618" w:rsidP="005C642A">
      <w:pPr>
        <w:tabs>
          <w:tab w:val="left" w:pos="360"/>
        </w:tabs>
        <w:spacing w:after="160"/>
        <w:jc w:val="both"/>
      </w:pPr>
      <w:r>
        <w:t xml:space="preserve">Scholarship is not inherently bad. In fact, there is good reason for seminaries to produce scholars. Theological scholars have made significant contributions to both the global </w:t>
      </w:r>
      <w:r w:rsidR="009275EA">
        <w:t>C</w:t>
      </w:r>
      <w:r>
        <w:t>hurch and global mission</w:t>
      </w:r>
      <w:r w:rsidR="00B84566">
        <w:t>s</w:t>
      </w:r>
      <w:r>
        <w:t xml:space="preserve"> over the centuries. However, </w:t>
      </w:r>
      <w:r w:rsidR="00EE53D7">
        <w:t xml:space="preserve">scholarship can never be accepted as an end to itself. The emphasis of </w:t>
      </w:r>
      <w:r w:rsidR="00951832">
        <w:t xml:space="preserve">theological </w:t>
      </w:r>
      <w:r w:rsidR="00EE53D7">
        <w:t xml:space="preserve">scholarship must always, </w:t>
      </w:r>
      <w:r w:rsidR="00951832">
        <w:t xml:space="preserve">and </w:t>
      </w:r>
      <w:r w:rsidR="00EE53D7">
        <w:t xml:space="preserve">first, seek to advance the mission of the </w:t>
      </w:r>
      <w:r w:rsidR="009275EA">
        <w:t>C</w:t>
      </w:r>
      <w:r w:rsidR="00EE53D7">
        <w:t xml:space="preserve">hurch. </w:t>
      </w:r>
      <w:r w:rsidR="001F47F9">
        <w:t xml:space="preserve">Martin </w:t>
      </w:r>
      <w:proofErr w:type="spellStart"/>
      <w:r w:rsidR="001F47F9">
        <w:t>Kähler</w:t>
      </w:r>
      <w:proofErr w:type="spellEnd"/>
      <w:r w:rsidR="001F47F9">
        <w:t xml:space="preserve"> insists that theolog</w:t>
      </w:r>
      <w:r w:rsidR="00B4625C">
        <w:t>ical development</w:t>
      </w:r>
      <w:r w:rsidR="001F47F9">
        <w:t xml:space="preserve"> originated in the missionary task</w:t>
      </w:r>
      <w:r w:rsidR="00E245DC">
        <w:t xml:space="preserve"> (</w:t>
      </w:r>
      <w:proofErr w:type="spellStart"/>
      <w:r w:rsidR="00E245DC">
        <w:t>Kähler</w:t>
      </w:r>
      <w:proofErr w:type="spellEnd"/>
      <w:r w:rsidR="00E245DC">
        <w:t xml:space="preserve"> 1971, </w:t>
      </w:r>
      <w:r w:rsidR="001A672B">
        <w:t>190</w:t>
      </w:r>
      <w:r w:rsidR="00E245DC">
        <w:t>)</w:t>
      </w:r>
      <w:r w:rsidR="001F47F9">
        <w:t xml:space="preserve">. As Christianity spread to different cultural contexts, new questions were raised within these </w:t>
      </w:r>
      <w:r w:rsidR="000719FF">
        <w:t>contexts</w:t>
      </w:r>
      <w:r w:rsidR="001F47F9">
        <w:t>. Theologians responded to these questions not as an academic exercise speaking to an isolated community of scholars but as the front edge of missionary advancement.</w:t>
      </w:r>
    </w:p>
    <w:p w14:paraId="3015D30B" w14:textId="69B69800" w:rsidR="008F1883" w:rsidRDefault="001F47F9" w:rsidP="006F73D1">
      <w:pPr>
        <w:tabs>
          <w:tab w:val="left" w:pos="360"/>
        </w:tabs>
        <w:spacing w:after="160"/>
        <w:ind w:firstLine="360"/>
        <w:jc w:val="both"/>
      </w:pPr>
      <w:r>
        <w:t xml:space="preserve">Furthermore, </w:t>
      </w:r>
      <w:proofErr w:type="spellStart"/>
      <w:r>
        <w:t>Kähler</w:t>
      </w:r>
      <w:proofErr w:type="spellEnd"/>
      <w:r>
        <w:t xml:space="preserve"> </w:t>
      </w:r>
      <w:r w:rsidR="00951832">
        <w:t xml:space="preserve">argues </w:t>
      </w:r>
      <w:r>
        <w:t>that omitting missions from any expression of Christianity does significant harm</w:t>
      </w:r>
      <w:r w:rsidR="001A672B">
        <w:t xml:space="preserve"> (</w:t>
      </w:r>
      <w:proofErr w:type="spellStart"/>
      <w:r w:rsidR="001A672B">
        <w:t>Kähler</w:t>
      </w:r>
      <w:proofErr w:type="spellEnd"/>
      <w:r w:rsidR="001A672B">
        <w:t xml:space="preserve"> 1971, 106)</w:t>
      </w:r>
      <w:r>
        <w:t>.</w:t>
      </w:r>
      <w:r w:rsidR="003E0899">
        <w:t xml:space="preserve"> </w:t>
      </w:r>
      <w:r w:rsidR="008B64E3">
        <w:t>TE institution</w:t>
      </w:r>
      <w:r>
        <w:t xml:space="preserve">s are simultaneously expressions of Christianity and </w:t>
      </w:r>
      <w:r w:rsidR="00B628C8">
        <w:t xml:space="preserve">transmitters of </w:t>
      </w:r>
      <w:r w:rsidR="00B504C2">
        <w:t xml:space="preserve">Christianity to a new generation of leaders. Each generation of leaders must </w:t>
      </w:r>
      <w:r w:rsidR="00B504C2">
        <w:lastRenderedPageBreak/>
        <w:t xml:space="preserve">learn how to </w:t>
      </w:r>
      <w:r w:rsidR="00951832">
        <w:t xml:space="preserve">serve </w:t>
      </w:r>
      <w:r w:rsidR="00B70872">
        <w:t>faithfully</w:t>
      </w:r>
      <w:r w:rsidR="00B504C2">
        <w:t xml:space="preserve"> in </w:t>
      </w:r>
      <w:r w:rsidR="00951832">
        <w:t>its own</w:t>
      </w:r>
      <w:r w:rsidR="00B504C2">
        <w:t xml:space="preserve"> ever-changing cultural context</w:t>
      </w:r>
      <w:r w:rsidR="0076613D">
        <w:t xml:space="preserve"> and then also equip the next generation to do the same</w:t>
      </w:r>
      <w:r w:rsidR="003F62CE">
        <w:t xml:space="preserve">. </w:t>
      </w:r>
      <w:r w:rsidR="00B504C2">
        <w:t xml:space="preserve">This process is disrupted when institutions merely seek to produce scholars that are primarily interested in speaking to others in the academic community. </w:t>
      </w:r>
      <w:r w:rsidR="00924752">
        <w:t>Relegating</w:t>
      </w:r>
      <w:r w:rsidR="00B504C2">
        <w:t xml:space="preserve"> missions, evangelism, and apologetics to their own disciplines outside the traditional theological disciplines does significant harm to both theology and missiology.</w:t>
      </w:r>
      <w:r w:rsidR="009108CF">
        <w:t xml:space="preserve"> </w:t>
      </w:r>
      <w:r w:rsidR="00951832">
        <w:t>As discussed</w:t>
      </w:r>
      <w:r w:rsidR="00632D57">
        <w:t xml:space="preserve"> elsewhere</w:t>
      </w:r>
      <w:r w:rsidR="00951832">
        <w:t>,</w:t>
      </w:r>
      <w:r w:rsidR="009108CF">
        <w:t xml:space="preserve"> “Theological education should lead to missional engagement, which, in turn, should result in new and deeper theological reflection” (Hirt</w:t>
      </w:r>
      <w:r w:rsidR="001B2367">
        <w:t xml:space="preserve"> 2021</w:t>
      </w:r>
      <w:r w:rsidR="009108CF">
        <w:t>, 174).</w:t>
      </w:r>
      <w:r w:rsidR="008F1883">
        <w:t xml:space="preserve"> Both emphases need to be </w:t>
      </w:r>
      <w:r w:rsidR="00B4625C">
        <w:t>held</w:t>
      </w:r>
      <w:r w:rsidR="008F1883">
        <w:t xml:space="preserve"> together </w:t>
      </w:r>
      <w:r w:rsidR="00D62E29">
        <w:t>for</w:t>
      </w:r>
      <w:r w:rsidR="008F1883">
        <w:t xml:space="preserve"> both processes to be complete.</w:t>
      </w:r>
    </w:p>
    <w:p w14:paraId="1D61E6C5" w14:textId="09D2DFA8" w:rsidR="008F1883" w:rsidRDefault="008F1883" w:rsidP="005C642A">
      <w:pPr>
        <w:tabs>
          <w:tab w:val="left" w:pos="360"/>
        </w:tabs>
        <w:spacing w:after="160"/>
        <w:jc w:val="both"/>
      </w:pPr>
      <w:r>
        <w:rPr>
          <w:i/>
          <w:iCs/>
        </w:rPr>
        <w:t>Drift Towards Institutional Preservation</w:t>
      </w:r>
    </w:p>
    <w:p w14:paraId="77AFEA1D" w14:textId="611B8FD8" w:rsidR="00DF33F9" w:rsidRDefault="00DF33F9" w:rsidP="00DF33F9">
      <w:pPr>
        <w:spacing w:after="160"/>
        <w:jc w:val="both"/>
      </w:pPr>
      <w:r>
        <w:t xml:space="preserve">In the realm of theological education, financial challenges seem to be ubiquitous. The financial struggles are even more pronounced in the Majority World. Greer and Horst observe that the combination of funding pressures, bad leadership decisions, and poor mission management are sometimes major contributors to </w:t>
      </w:r>
      <w:r w:rsidR="00951832">
        <w:t xml:space="preserve">a </w:t>
      </w:r>
      <w:r>
        <w:t xml:space="preserve">drift away from an institution’s purpose (Greer </w:t>
      </w:r>
      <w:r w:rsidR="00951832">
        <w:t>&amp;</w:t>
      </w:r>
      <w:r>
        <w:t xml:space="preserve"> Horst, </w:t>
      </w:r>
      <w:r w:rsidR="00951832">
        <w:t xml:space="preserve">2014, </w:t>
      </w:r>
      <w:r>
        <w:t xml:space="preserve">68). </w:t>
      </w:r>
      <w:proofErr w:type="spellStart"/>
      <w:r>
        <w:t>Bellon</w:t>
      </w:r>
      <w:proofErr w:type="spellEnd"/>
      <w:r>
        <w:t xml:space="preserve"> similarly perceives that “Many theological institutions</w:t>
      </w:r>
      <w:r w:rsidR="00511CB1">
        <w:t>,</w:t>
      </w:r>
      <w:r>
        <w:t xml:space="preserve"> strapped by financial pressure, operate under the premise that adding students alone will increase their revenue” despite the strong evidence that this presupposition is almost never true (</w:t>
      </w:r>
      <w:proofErr w:type="spellStart"/>
      <w:r>
        <w:t>Bellon</w:t>
      </w:r>
      <w:proofErr w:type="spellEnd"/>
      <w:r w:rsidR="001B2367">
        <w:t xml:space="preserve"> 2017</w:t>
      </w:r>
      <w:r>
        <w:t>, 26). Th</w:t>
      </w:r>
      <w:r w:rsidR="00951832">
        <w:t>is</w:t>
      </w:r>
      <w:r>
        <w:t xml:space="preserve"> volatile combination of factors leaves TE institutions particularly prone to drift towards institutional preservation at the expense of preparing students to fulfill the missionary </w:t>
      </w:r>
      <w:r w:rsidRPr="0007623F">
        <w:t>task.</w:t>
      </w:r>
      <w:r>
        <w:t xml:space="preserve"> </w:t>
      </w:r>
      <w:r w:rsidRPr="0007623F">
        <w:t>TE institutions face the temptation of assuming that</w:t>
      </w:r>
      <w:r w:rsidR="00951832">
        <w:t>,</w:t>
      </w:r>
      <w:r w:rsidRPr="0007623F">
        <w:t xml:space="preserve"> because they may have received God’s blessing in the past, they will continue to receive God’s blessing despite shifting </w:t>
      </w:r>
      <w:r>
        <w:t xml:space="preserve">away </w:t>
      </w:r>
      <w:r w:rsidRPr="0007623F">
        <w:t xml:space="preserve">from God’s plan for the nations to preserving their own institutional structures. God makes no promise to bless </w:t>
      </w:r>
      <w:r w:rsidR="004A191E">
        <w:t>his people</w:t>
      </w:r>
      <w:r w:rsidR="004A191E" w:rsidRPr="0007623F">
        <w:t xml:space="preserve"> </w:t>
      </w:r>
      <w:r w:rsidRPr="0007623F">
        <w:t>in these circumstances, and, in fact, he often withdraws his Spirit when institutions and their leaders refuse to repent (Hirt</w:t>
      </w:r>
      <w:r w:rsidR="001B2367">
        <w:t xml:space="preserve"> 2021</w:t>
      </w:r>
      <w:r w:rsidRPr="0007623F">
        <w:t>, 171–172).</w:t>
      </w:r>
    </w:p>
    <w:p w14:paraId="4D85D1B8" w14:textId="628109AA" w:rsidR="00AE54AE" w:rsidRDefault="006F485A" w:rsidP="005C642A">
      <w:pPr>
        <w:tabs>
          <w:tab w:val="left" w:pos="360"/>
        </w:tabs>
        <w:spacing w:after="160"/>
        <w:jc w:val="both"/>
      </w:pPr>
      <w:r>
        <w:rPr>
          <w:b/>
          <w:bCs/>
        </w:rPr>
        <w:t xml:space="preserve">The Prophetic Function in </w:t>
      </w:r>
      <w:r w:rsidR="00A004A3">
        <w:rPr>
          <w:b/>
          <w:bCs/>
        </w:rPr>
        <w:t>TE Institutions</w:t>
      </w:r>
    </w:p>
    <w:p w14:paraId="220C9EC5" w14:textId="090F9A9A" w:rsidR="00517D24" w:rsidRDefault="00F07EEF" w:rsidP="005C642A">
      <w:pPr>
        <w:tabs>
          <w:tab w:val="left" w:pos="360"/>
        </w:tabs>
        <w:spacing w:after="160"/>
        <w:jc w:val="both"/>
      </w:pPr>
      <w:r>
        <w:t xml:space="preserve">With </w:t>
      </w:r>
      <w:r w:rsidR="009B4531">
        <w:t xml:space="preserve">the risk of drift away from a missional emphasis in TE, </w:t>
      </w:r>
      <w:r w:rsidR="004647C6">
        <w:t>individuals fulfilling the</w:t>
      </w:r>
      <w:r w:rsidR="009B4531">
        <w:t xml:space="preserve"> prophetic function as defined by Frost and Hirsch </w:t>
      </w:r>
      <w:r w:rsidR="004647C6">
        <w:t xml:space="preserve">could help </w:t>
      </w:r>
      <w:r w:rsidR="00676C9D">
        <w:t xml:space="preserve">TE institutions </w:t>
      </w:r>
      <w:r w:rsidR="0067582C">
        <w:t xml:space="preserve">prevent drift and </w:t>
      </w:r>
      <w:r w:rsidR="00676C9D">
        <w:t>maintain their external focus</w:t>
      </w:r>
      <w:r w:rsidR="00517D24">
        <w:t xml:space="preserve"> at least three distinct areas. First, they </w:t>
      </w:r>
      <w:r w:rsidR="00A51B3A">
        <w:t xml:space="preserve">can </w:t>
      </w:r>
      <w:r w:rsidR="00517D24">
        <w:t>provide missional focus for the institution</w:t>
      </w:r>
      <w:r w:rsidR="0009540E">
        <w:t>al leadership</w:t>
      </w:r>
      <w:r w:rsidR="00517D24">
        <w:t xml:space="preserve">. As mentioned above, </w:t>
      </w:r>
      <w:r w:rsidR="008B64E3">
        <w:t>TE institution</w:t>
      </w:r>
      <w:r w:rsidR="00517D24">
        <w:t xml:space="preserve">s tend to drift towards an inward focus of either </w:t>
      </w:r>
      <w:r w:rsidR="009275EA">
        <w:t xml:space="preserve">an </w:t>
      </w:r>
      <w:r w:rsidR="00517D24">
        <w:t xml:space="preserve">exclusive emphasis on scholarship or towards institutional preservation. </w:t>
      </w:r>
      <w:r w:rsidR="005D50BD">
        <w:t xml:space="preserve">Those fulfilling the prophetic function </w:t>
      </w:r>
      <w:r w:rsidR="00750CF1">
        <w:t>can</w:t>
      </w:r>
      <w:r w:rsidR="00D2294D">
        <w:t xml:space="preserve"> urge</w:t>
      </w:r>
      <w:r w:rsidR="005D50BD">
        <w:t xml:space="preserve"> institution</w:t>
      </w:r>
      <w:r w:rsidR="007151B0">
        <w:t>al leaders</w:t>
      </w:r>
      <w:r w:rsidR="005D50BD">
        <w:t xml:space="preserve"> to regain a central focus on preparing students to fulfill the Great Commission with an emphasis on gospel proclamation, discipleship, church planting, and leadership development. </w:t>
      </w:r>
      <w:r w:rsidR="000E526B">
        <w:t xml:space="preserve">Institutional administrators may be tempted to drive the focus of theological education toward developing gifted scholars or to simply prepare pastors to serve in existing churches. The global </w:t>
      </w:r>
      <w:r w:rsidR="009275EA">
        <w:t>C</w:t>
      </w:r>
      <w:r w:rsidR="000E526B">
        <w:t xml:space="preserve">hurch needs people to serve in these important roles, but this </w:t>
      </w:r>
      <w:r w:rsidR="00411F64">
        <w:t xml:space="preserve">emphasis alone </w:t>
      </w:r>
      <w:r w:rsidR="000E526B">
        <w:t xml:space="preserve">is too small of a vision. Scholars, regardless of </w:t>
      </w:r>
      <w:r w:rsidR="009275EA">
        <w:t xml:space="preserve">academic </w:t>
      </w:r>
      <w:r w:rsidR="000E526B">
        <w:t xml:space="preserve">discipline, need to be aware of </w:t>
      </w:r>
      <w:r w:rsidR="002163AF">
        <w:t>global missions and that the Great Commission is no longer being fulfilled exclusively by Western Christians.</w:t>
      </w:r>
      <w:r w:rsidR="000E526B">
        <w:t xml:space="preserve"> </w:t>
      </w:r>
      <w:r w:rsidR="002163AF">
        <w:t>Christian scholars</w:t>
      </w:r>
      <w:r w:rsidR="000E526B">
        <w:t xml:space="preserve"> can no longer assume that they are speaking into a </w:t>
      </w:r>
      <w:r w:rsidR="002721EC">
        <w:t>predominantly</w:t>
      </w:r>
      <w:r w:rsidR="000E526B">
        <w:t xml:space="preserve"> Western conversation. Christian scholarship is a global conversation involving issues of cross-cultural communication and contextualization. Institutions interested in training scholars need to have faculty and administrators reminding them about this global conversation</w:t>
      </w:r>
      <w:r w:rsidR="00A11727">
        <w:t xml:space="preserve"> that is happening in the context of cross-cultural missions.</w:t>
      </w:r>
      <w:r w:rsidR="00B361C6">
        <w:t xml:space="preserve"> </w:t>
      </w:r>
      <w:r w:rsidR="000B3EEC">
        <w:t>Institution</w:t>
      </w:r>
      <w:r w:rsidR="0042468D">
        <w:t>al leaders can be served by</w:t>
      </w:r>
      <w:r w:rsidR="000B3EEC">
        <w:t xml:space="preserve"> those fulfilling the prophetic function speak</w:t>
      </w:r>
      <w:r w:rsidR="00C203CB">
        <w:t>ing</w:t>
      </w:r>
      <w:r w:rsidR="000B3EEC">
        <w:t xml:space="preserve"> into matters of curriculum design and core competencies. </w:t>
      </w:r>
      <w:r w:rsidR="00F408B6">
        <w:t xml:space="preserve">If a </w:t>
      </w:r>
      <w:r w:rsidR="008B64E3">
        <w:t>TE institution</w:t>
      </w:r>
      <w:r w:rsidR="00F408B6">
        <w:t xml:space="preserve"> is not consistently called back to a</w:t>
      </w:r>
      <w:r w:rsidR="00184F47">
        <w:t>n outward</w:t>
      </w:r>
      <w:r w:rsidR="00F408B6">
        <w:t xml:space="preserve"> missional focus, the trend is for them to drift toward internal focus and institutional preservation.</w:t>
      </w:r>
    </w:p>
    <w:p w14:paraId="60FF4724" w14:textId="36AACE41" w:rsidR="00DF3E23" w:rsidRDefault="00DF3E23" w:rsidP="006F73D1">
      <w:pPr>
        <w:tabs>
          <w:tab w:val="left" w:pos="360"/>
        </w:tabs>
        <w:spacing w:after="160"/>
        <w:ind w:firstLine="360"/>
        <w:jc w:val="both"/>
      </w:pPr>
      <w:r>
        <w:lastRenderedPageBreak/>
        <w:t xml:space="preserve">A second area where the prophetic function may provide missional focus is </w:t>
      </w:r>
      <w:r w:rsidR="003737FB">
        <w:t>among</w:t>
      </w:r>
      <w:r>
        <w:t xml:space="preserve"> the faculty through inter-department dialogue. </w:t>
      </w:r>
      <w:r w:rsidR="003A6C6A">
        <w:t xml:space="preserve">All areas of theological study are essential to the development of a robust orthodoxy in any context. </w:t>
      </w:r>
      <w:r w:rsidR="00D830E1">
        <w:t>A missional hermeneutic of Scripture is essential as every discipline engages in the theological process</w:t>
      </w:r>
      <w:r w:rsidR="00B80D08">
        <w:t xml:space="preserve"> (Payne 2021, 3)</w:t>
      </w:r>
      <w:r w:rsidR="00A16952">
        <w:t>.</w:t>
      </w:r>
      <w:r w:rsidR="007C51DF">
        <w:t xml:space="preserve"> One of the most significant ways that the prophetic function may urge various theological disciplines to retain a mission</w:t>
      </w:r>
      <w:r w:rsidR="00907F8A">
        <w:t>al</w:t>
      </w:r>
      <w:r w:rsidR="007C51DF">
        <w:t xml:space="preserve"> focus is by frequently asking the question “So what?” In other words, what are the practical and contextual implications of theological conclusions</w:t>
      </w:r>
      <w:r w:rsidR="0001725B">
        <w:t>?</w:t>
      </w:r>
      <w:r w:rsidR="007C51DF">
        <w:t xml:space="preserve"> </w:t>
      </w:r>
      <w:proofErr w:type="spellStart"/>
      <w:r w:rsidR="00BA445E">
        <w:t>Kähler</w:t>
      </w:r>
      <w:proofErr w:type="spellEnd"/>
      <w:r w:rsidR="00BA445E">
        <w:t xml:space="preserve"> observes</w:t>
      </w:r>
      <w:r w:rsidR="000142E5">
        <w:t xml:space="preserve"> that this practical element is </w:t>
      </w:r>
      <w:r w:rsidR="00090849">
        <w:t xml:space="preserve">generally lacking in systematic theology, and this oversight has </w:t>
      </w:r>
      <w:r w:rsidR="00542F39">
        <w:t>been to the detriment of systematic theologians</w:t>
      </w:r>
      <w:r w:rsidR="00BA445E">
        <w:t xml:space="preserve"> (</w:t>
      </w:r>
      <w:proofErr w:type="spellStart"/>
      <w:r w:rsidR="00BA445E">
        <w:t>Kähler</w:t>
      </w:r>
      <w:proofErr w:type="spellEnd"/>
      <w:r w:rsidR="00BA445E">
        <w:t xml:space="preserve">, 105). </w:t>
      </w:r>
      <w:r w:rsidR="00AD4B17">
        <w:t xml:space="preserve">A missional focus prompted by those exercising the prophetic function in </w:t>
      </w:r>
      <w:r w:rsidR="008B64E3">
        <w:t>TE institution</w:t>
      </w:r>
      <w:r w:rsidR="00AD4B17">
        <w:t>s will help faculty in all departments avoid scholarly pursuits isolated from the missional context in which they are being developed. Furthermore, the various theological disciplines will be confronted with the real contextual issues that arise rather than pursuing theoretical matters that may not have any relevance outside of the academy.</w:t>
      </w:r>
    </w:p>
    <w:p w14:paraId="272E74DD" w14:textId="51B751F4" w:rsidR="00AE54AE" w:rsidRDefault="002C2850" w:rsidP="006F73D1">
      <w:pPr>
        <w:tabs>
          <w:tab w:val="left" w:pos="360"/>
        </w:tabs>
        <w:spacing w:after="160"/>
        <w:ind w:firstLine="360"/>
        <w:jc w:val="both"/>
      </w:pPr>
      <w:r>
        <w:t xml:space="preserve">The third potential area where </w:t>
      </w:r>
      <w:r w:rsidR="00183D9B">
        <w:t xml:space="preserve">the prophetic function can provide missional focus is by guiding students to be </w:t>
      </w:r>
      <w:r w:rsidR="00FE4059">
        <w:t xml:space="preserve">sharply aware of the </w:t>
      </w:r>
      <w:r w:rsidR="006D3932">
        <w:t xml:space="preserve">global </w:t>
      </w:r>
      <w:r w:rsidR="00FE4059">
        <w:t xml:space="preserve">mission of the </w:t>
      </w:r>
      <w:r w:rsidR="009275EA">
        <w:t>C</w:t>
      </w:r>
      <w:r w:rsidR="00FE4059">
        <w:t>hurch</w:t>
      </w:r>
      <w:r w:rsidR="00532EFC">
        <w:t>.</w:t>
      </w:r>
      <w:r w:rsidR="00F63AA5">
        <w:t xml:space="preserve"> </w:t>
      </w:r>
      <w:r w:rsidR="008B64E3">
        <w:t>TE institution</w:t>
      </w:r>
      <w:r w:rsidR="00D93B0B">
        <w:t xml:space="preserve">s exist for the purpose of preparing students for service in the local church and </w:t>
      </w:r>
      <w:r w:rsidR="00875B67">
        <w:t xml:space="preserve">global </w:t>
      </w:r>
      <w:r w:rsidR="00D93B0B">
        <w:t>missions. While there is room for advanced scholarship, institutions must not lose sight of this primary purpose. To that end, students likewise need to be reminded that the</w:t>
      </w:r>
      <w:r w:rsidR="00907F8A">
        <w:t>y are called</w:t>
      </w:r>
      <w:r w:rsidR="00D93B0B">
        <w:t xml:space="preserve"> to be engaged in the Great Commission regardless of whether they serve in a pioneer missions context or in an established local church. Ashford and Whitfield insist, “</w:t>
      </w:r>
      <w:r w:rsidR="00953624" w:rsidRPr="00A93CDF">
        <w:t xml:space="preserve">The purpose of </w:t>
      </w:r>
      <w:r w:rsidR="00145396">
        <w:t>[Christian theology]</w:t>
      </w:r>
      <w:r w:rsidR="00953624" w:rsidRPr="00A93CDF">
        <w:t xml:space="preserve"> is to equip the people of God to know and love God and to participate in his mission in the world</w:t>
      </w:r>
      <w:r w:rsidR="00953624">
        <w:t>”</w:t>
      </w:r>
      <w:r w:rsidR="00F05031">
        <w:t xml:space="preserve"> (Ashford and Whitfield 2014, 3).</w:t>
      </w:r>
      <w:r w:rsidR="00A9498D">
        <w:t xml:space="preserve"> </w:t>
      </w:r>
      <w:r w:rsidR="00A93CDF">
        <w:t xml:space="preserve">Leading students to engage in the theological process should include teaching them that the theological process is not complete unless there is a missional focus </w:t>
      </w:r>
      <w:r w:rsidR="007303C9">
        <w:t>and application</w:t>
      </w:r>
      <w:r w:rsidR="00CF3FD6">
        <w:t>.</w:t>
      </w:r>
    </w:p>
    <w:p w14:paraId="05305D2E" w14:textId="07DB73D8" w:rsidR="00784D74" w:rsidRDefault="00CF3FD6" w:rsidP="005C642A">
      <w:pPr>
        <w:tabs>
          <w:tab w:val="left" w:pos="360"/>
        </w:tabs>
        <w:spacing w:after="160"/>
        <w:jc w:val="both"/>
      </w:pPr>
      <w:r>
        <w:rPr>
          <w:b/>
          <w:bCs/>
        </w:rPr>
        <w:t>Conclusion</w:t>
      </w:r>
    </w:p>
    <w:p w14:paraId="0B80109C" w14:textId="55738781" w:rsidR="00AE54AE" w:rsidRPr="00DC0DB1" w:rsidRDefault="00CF3FD6" w:rsidP="005C642A">
      <w:pPr>
        <w:tabs>
          <w:tab w:val="left" w:pos="360"/>
        </w:tabs>
        <w:spacing w:after="160"/>
        <w:jc w:val="both"/>
        <w:rPr>
          <w:color w:val="000000" w:themeColor="text1"/>
        </w:rPr>
      </w:pPr>
      <w:r>
        <w:t xml:space="preserve">While much confusion persists around the definition and function of prophets in the </w:t>
      </w:r>
      <w:r w:rsidR="00480057">
        <w:t>C</w:t>
      </w:r>
      <w:r>
        <w:t>hurch, significant clarity can be achieved when a missional hermeneutic is applied in the interpretation of Ephesians 4:11–12.</w:t>
      </w:r>
      <w:r w:rsidR="00D8116E">
        <w:t xml:space="preserve"> The five functions listed work together to equip all believers to carry out the ministry and mission of the </w:t>
      </w:r>
      <w:r w:rsidR="00480057">
        <w:t>C</w:t>
      </w:r>
      <w:r w:rsidR="00D8116E">
        <w:t xml:space="preserve">hurch. They are called to “speak the truth in love” </w:t>
      </w:r>
      <w:r w:rsidR="003042DB">
        <w:t>to</w:t>
      </w:r>
      <w:r w:rsidR="00D8116E">
        <w:t xml:space="preserve"> encourage one another to grow in Christlikeness (Eph 4:15). Christlikeness </w:t>
      </w:r>
      <w:r w:rsidR="003042DB">
        <w:t xml:space="preserve">includes </w:t>
      </w:r>
      <w:r w:rsidR="00D8116E">
        <w:t xml:space="preserve">seeing the world as </w:t>
      </w:r>
      <w:r w:rsidR="00480057">
        <w:t>h</w:t>
      </w:r>
      <w:r w:rsidR="00D8116E">
        <w:t xml:space="preserve">e sees it—as a field ready for harvest in need of laborers (Matt 9:37; Luke 10:2; John 4:35). </w:t>
      </w:r>
      <w:r w:rsidR="00A95910">
        <w:t>Individuals fulfilling</w:t>
      </w:r>
      <w:r w:rsidR="0041451F">
        <w:t xml:space="preserve"> the</w:t>
      </w:r>
      <w:r w:rsidR="00D46035">
        <w:t xml:space="preserve"> prophetic function in </w:t>
      </w:r>
      <w:r w:rsidR="008B64E3">
        <w:t>TE institution</w:t>
      </w:r>
      <w:r w:rsidR="00D46035">
        <w:t>s can serve as a powerful means of resistin</w:t>
      </w:r>
      <w:r w:rsidR="00D46035" w:rsidRPr="00DC0DB1">
        <w:rPr>
          <w:color w:val="000000" w:themeColor="text1"/>
        </w:rPr>
        <w:t>g institutional drift while simultaneously providing vitality to the institution, faculty, and students.</w:t>
      </w:r>
    </w:p>
    <w:p w14:paraId="2A831BC9" w14:textId="21483F74" w:rsidR="00141650" w:rsidRPr="00DC0DB1" w:rsidRDefault="00082970" w:rsidP="00837F5E">
      <w:pPr>
        <w:tabs>
          <w:tab w:val="left" w:pos="360"/>
        </w:tabs>
        <w:spacing w:after="160"/>
        <w:jc w:val="both"/>
        <w:rPr>
          <w:color w:val="000000" w:themeColor="text1"/>
        </w:rPr>
      </w:pPr>
      <w:r w:rsidRPr="00DC0DB1">
        <w:rPr>
          <w:b/>
          <w:bCs/>
          <w:color w:val="000000" w:themeColor="text1"/>
        </w:rPr>
        <w:t>References</w:t>
      </w:r>
    </w:p>
    <w:p w14:paraId="4B673F8D" w14:textId="08C98260"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Ashford, B. R., &amp; Whitfield, K. (2014). Theological </w:t>
      </w:r>
      <w:r w:rsidR="0081222B" w:rsidRPr="00DC0DB1">
        <w:rPr>
          <w:color w:val="000000" w:themeColor="text1"/>
        </w:rPr>
        <w:t>m</w:t>
      </w:r>
      <w:r w:rsidRPr="00DC0DB1">
        <w:rPr>
          <w:color w:val="000000" w:themeColor="text1"/>
        </w:rPr>
        <w:t xml:space="preserve">ethod: </w:t>
      </w:r>
      <w:r w:rsidR="0081222B" w:rsidRPr="00DC0DB1">
        <w:rPr>
          <w:color w:val="000000" w:themeColor="text1"/>
        </w:rPr>
        <w:t>a</w:t>
      </w:r>
      <w:r w:rsidRPr="00DC0DB1">
        <w:rPr>
          <w:color w:val="000000" w:themeColor="text1"/>
        </w:rPr>
        <w:t xml:space="preserve">n </w:t>
      </w:r>
      <w:r w:rsidR="0081222B" w:rsidRPr="00DC0DB1">
        <w:rPr>
          <w:color w:val="000000" w:themeColor="text1"/>
        </w:rPr>
        <w:t>i</w:t>
      </w:r>
      <w:r w:rsidRPr="00DC0DB1">
        <w:rPr>
          <w:color w:val="000000" w:themeColor="text1"/>
        </w:rPr>
        <w:t xml:space="preserve">ntroduction to the </w:t>
      </w:r>
      <w:r w:rsidR="0081222B" w:rsidRPr="00DC0DB1">
        <w:rPr>
          <w:color w:val="000000" w:themeColor="text1"/>
        </w:rPr>
        <w:t>t</w:t>
      </w:r>
      <w:r w:rsidRPr="00DC0DB1">
        <w:rPr>
          <w:color w:val="000000" w:themeColor="text1"/>
        </w:rPr>
        <w:t xml:space="preserve">ask of </w:t>
      </w:r>
      <w:r w:rsidR="0081222B" w:rsidRPr="00DC0DB1">
        <w:rPr>
          <w:color w:val="000000" w:themeColor="text1"/>
        </w:rPr>
        <w:t>t</w:t>
      </w:r>
      <w:r w:rsidRPr="00DC0DB1">
        <w:rPr>
          <w:color w:val="000000" w:themeColor="text1"/>
        </w:rPr>
        <w:t xml:space="preserve">heology. </w:t>
      </w:r>
      <w:r w:rsidR="00EE5452" w:rsidRPr="00DC0DB1">
        <w:rPr>
          <w:i/>
          <w:iCs/>
          <w:color w:val="000000" w:themeColor="text1"/>
        </w:rPr>
        <w:t xml:space="preserve">A </w:t>
      </w:r>
      <w:r w:rsidR="0020469F" w:rsidRPr="00DC0DB1">
        <w:rPr>
          <w:i/>
          <w:iCs/>
          <w:color w:val="000000" w:themeColor="text1"/>
        </w:rPr>
        <w:t>t</w:t>
      </w:r>
      <w:r w:rsidR="00EE5452" w:rsidRPr="00DC0DB1">
        <w:rPr>
          <w:i/>
          <w:iCs/>
          <w:color w:val="000000" w:themeColor="text1"/>
        </w:rPr>
        <w:t xml:space="preserve">heology for the </w:t>
      </w:r>
      <w:r w:rsidR="0020469F" w:rsidRPr="00DC0DB1">
        <w:rPr>
          <w:i/>
          <w:iCs/>
          <w:color w:val="000000" w:themeColor="text1"/>
        </w:rPr>
        <w:t>c</w:t>
      </w:r>
      <w:r w:rsidR="00EE5452" w:rsidRPr="00DC0DB1">
        <w:rPr>
          <w:i/>
          <w:iCs/>
          <w:color w:val="000000" w:themeColor="text1"/>
        </w:rPr>
        <w:t>hurch</w:t>
      </w:r>
      <w:r w:rsidR="00EE5452" w:rsidRPr="00DC0DB1">
        <w:rPr>
          <w:color w:val="000000" w:themeColor="text1"/>
        </w:rPr>
        <w:t xml:space="preserve"> (</w:t>
      </w:r>
      <w:r w:rsidR="0020469F" w:rsidRPr="00DC0DB1">
        <w:rPr>
          <w:color w:val="000000" w:themeColor="text1"/>
        </w:rPr>
        <w:t>r</w:t>
      </w:r>
      <w:r w:rsidR="00EE5452" w:rsidRPr="00DC0DB1">
        <w:rPr>
          <w:color w:val="000000" w:themeColor="text1"/>
        </w:rPr>
        <w:t xml:space="preserve">evised </w:t>
      </w:r>
      <w:r w:rsidR="0020469F" w:rsidRPr="00DC0DB1">
        <w:rPr>
          <w:color w:val="000000" w:themeColor="text1"/>
        </w:rPr>
        <w:t>e</w:t>
      </w:r>
      <w:r w:rsidR="00EE5452" w:rsidRPr="00DC0DB1">
        <w:rPr>
          <w:color w:val="000000" w:themeColor="text1"/>
        </w:rPr>
        <w:t xml:space="preserve">dition). </w:t>
      </w:r>
      <w:r w:rsidR="00FC3D12" w:rsidRPr="00DC0DB1">
        <w:rPr>
          <w:color w:val="000000" w:themeColor="text1"/>
        </w:rPr>
        <w:t>ed.,</w:t>
      </w:r>
      <w:r w:rsidRPr="00DC0DB1">
        <w:rPr>
          <w:color w:val="000000" w:themeColor="text1"/>
        </w:rPr>
        <w:t xml:space="preserve"> Akin</w:t>
      </w:r>
      <w:r w:rsidR="00FC3D12" w:rsidRPr="00DC0DB1">
        <w:rPr>
          <w:color w:val="000000" w:themeColor="text1"/>
        </w:rPr>
        <w:t>, D. L.</w:t>
      </w:r>
      <w:r w:rsidRPr="00DC0DB1">
        <w:rPr>
          <w:color w:val="000000" w:themeColor="text1"/>
        </w:rPr>
        <w:t>, B&amp;H.</w:t>
      </w:r>
      <w:r w:rsidR="00574523" w:rsidRPr="00DC0DB1">
        <w:rPr>
          <w:color w:val="000000" w:themeColor="text1"/>
        </w:rPr>
        <w:t xml:space="preserve"> 3–66.</w:t>
      </w:r>
    </w:p>
    <w:p w14:paraId="52FDF2E4" w14:textId="6C09A171"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Assemblies of God Position Paper (2001). Apostles and Prophets.</w:t>
      </w:r>
      <w:r w:rsidR="00E9595D" w:rsidRPr="00DC0DB1">
        <w:rPr>
          <w:color w:val="000000" w:themeColor="text1"/>
        </w:rPr>
        <w:t xml:space="preserve"> </w:t>
      </w:r>
      <w:hyperlink r:id="rId8" w:history="1">
        <w:r w:rsidR="00E9595D" w:rsidRPr="00DC0DB1">
          <w:rPr>
            <w:rStyle w:val="Hyperlink"/>
            <w:color w:val="000000" w:themeColor="text1"/>
          </w:rPr>
          <w:t>https://ag.org/Beliefs/Position-Papers/Apostles-and-Prophets</w:t>
        </w:r>
      </w:hyperlink>
    </w:p>
    <w:p w14:paraId="735BF987" w14:textId="1DAACFE3"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Barth, M. (2008). </w:t>
      </w:r>
      <w:r w:rsidRPr="00DC0DB1">
        <w:rPr>
          <w:i/>
          <w:iCs/>
          <w:color w:val="000000" w:themeColor="text1"/>
        </w:rPr>
        <w:t xml:space="preserve">Ephesians: </w:t>
      </w:r>
      <w:r w:rsidR="00837F5E" w:rsidRPr="00DC0DB1">
        <w:rPr>
          <w:i/>
          <w:iCs/>
          <w:color w:val="000000" w:themeColor="text1"/>
        </w:rPr>
        <w:t>i</w:t>
      </w:r>
      <w:r w:rsidRPr="00DC0DB1">
        <w:rPr>
          <w:i/>
          <w:iCs/>
          <w:color w:val="000000" w:themeColor="text1"/>
        </w:rPr>
        <w:t xml:space="preserve">ntroduction, </w:t>
      </w:r>
      <w:r w:rsidR="00837F5E" w:rsidRPr="00DC0DB1">
        <w:rPr>
          <w:i/>
          <w:iCs/>
          <w:color w:val="000000" w:themeColor="text1"/>
        </w:rPr>
        <w:t>t</w:t>
      </w:r>
      <w:r w:rsidRPr="00DC0DB1">
        <w:rPr>
          <w:i/>
          <w:iCs/>
          <w:color w:val="000000" w:themeColor="text1"/>
        </w:rPr>
        <w:t xml:space="preserve">ranslation, and </w:t>
      </w:r>
      <w:r w:rsidR="00837F5E" w:rsidRPr="00DC0DB1">
        <w:rPr>
          <w:i/>
          <w:iCs/>
          <w:color w:val="000000" w:themeColor="text1"/>
        </w:rPr>
        <w:t>c</w:t>
      </w:r>
      <w:r w:rsidRPr="00DC0DB1">
        <w:rPr>
          <w:i/>
          <w:iCs/>
          <w:color w:val="000000" w:themeColor="text1"/>
        </w:rPr>
        <w:t>ommentary on Ch</w:t>
      </w:r>
      <w:r w:rsidR="00837F5E" w:rsidRPr="00DC0DB1">
        <w:rPr>
          <w:i/>
          <w:iCs/>
          <w:color w:val="000000" w:themeColor="text1"/>
        </w:rPr>
        <w:t>ap</w:t>
      </w:r>
      <w:r w:rsidRPr="00DC0DB1">
        <w:rPr>
          <w:i/>
          <w:iCs/>
          <w:color w:val="000000" w:themeColor="text1"/>
        </w:rPr>
        <w:t>ters 4–6</w:t>
      </w:r>
      <w:r w:rsidRPr="00DC0DB1">
        <w:rPr>
          <w:color w:val="000000" w:themeColor="text1"/>
        </w:rPr>
        <w:t xml:space="preserve"> (Vol. 34A). Yale University Press.</w:t>
      </w:r>
    </w:p>
    <w:p w14:paraId="2A80B50B" w14:textId="6D8112F4" w:rsidR="00F4038A" w:rsidRPr="00DC0DB1" w:rsidRDefault="00F4038A" w:rsidP="006F73D1">
      <w:pPr>
        <w:tabs>
          <w:tab w:val="left" w:pos="360"/>
        </w:tabs>
        <w:spacing w:after="160"/>
        <w:ind w:left="360" w:hanging="360"/>
        <w:jc w:val="both"/>
        <w:rPr>
          <w:color w:val="000000" w:themeColor="text1"/>
        </w:rPr>
      </w:pPr>
      <w:proofErr w:type="spellStart"/>
      <w:r w:rsidRPr="00DC0DB1">
        <w:rPr>
          <w:color w:val="000000" w:themeColor="text1"/>
        </w:rPr>
        <w:t>Bellon</w:t>
      </w:r>
      <w:proofErr w:type="spellEnd"/>
      <w:r w:rsidRPr="00DC0DB1">
        <w:rPr>
          <w:color w:val="000000" w:themeColor="text1"/>
        </w:rPr>
        <w:t xml:space="preserve">, E. (2017). Theological </w:t>
      </w:r>
      <w:r w:rsidR="00E13316" w:rsidRPr="00DC0DB1">
        <w:rPr>
          <w:color w:val="000000" w:themeColor="text1"/>
        </w:rPr>
        <w:t>e</w:t>
      </w:r>
      <w:r w:rsidRPr="00DC0DB1">
        <w:rPr>
          <w:color w:val="000000" w:themeColor="text1"/>
        </w:rPr>
        <w:t xml:space="preserve">ducation in </w:t>
      </w:r>
      <w:r w:rsidR="00E13316" w:rsidRPr="00DC0DB1">
        <w:rPr>
          <w:color w:val="000000" w:themeColor="text1"/>
        </w:rPr>
        <w:t>a</w:t>
      </w:r>
      <w:r w:rsidRPr="00DC0DB1">
        <w:rPr>
          <w:color w:val="000000" w:themeColor="text1"/>
        </w:rPr>
        <w:t xml:space="preserve">frica: </w:t>
      </w:r>
      <w:r w:rsidR="00E13316" w:rsidRPr="00DC0DB1">
        <w:rPr>
          <w:color w:val="000000" w:themeColor="text1"/>
        </w:rPr>
        <w:t>b</w:t>
      </w:r>
      <w:r w:rsidRPr="00DC0DB1">
        <w:rPr>
          <w:color w:val="000000" w:themeColor="text1"/>
        </w:rPr>
        <w:t xml:space="preserve">usiness or </w:t>
      </w:r>
      <w:r w:rsidR="00E13316" w:rsidRPr="00DC0DB1">
        <w:rPr>
          <w:color w:val="000000" w:themeColor="text1"/>
        </w:rPr>
        <w:t>m</w:t>
      </w:r>
      <w:r w:rsidRPr="00DC0DB1">
        <w:rPr>
          <w:color w:val="000000" w:themeColor="text1"/>
        </w:rPr>
        <w:t xml:space="preserve">ission? </w:t>
      </w:r>
      <w:proofErr w:type="spellStart"/>
      <w:r w:rsidRPr="00DC0DB1">
        <w:rPr>
          <w:i/>
          <w:iCs/>
          <w:color w:val="000000" w:themeColor="text1"/>
        </w:rPr>
        <w:t>InSights</w:t>
      </w:r>
      <w:proofErr w:type="spellEnd"/>
      <w:r w:rsidRPr="00DC0DB1">
        <w:rPr>
          <w:i/>
          <w:iCs/>
          <w:color w:val="000000" w:themeColor="text1"/>
        </w:rPr>
        <w:t xml:space="preserve"> </w:t>
      </w:r>
      <w:r w:rsidR="00E13316" w:rsidRPr="00DC0DB1">
        <w:rPr>
          <w:i/>
          <w:iCs/>
          <w:color w:val="000000" w:themeColor="text1"/>
        </w:rPr>
        <w:t>j</w:t>
      </w:r>
      <w:r w:rsidRPr="00DC0DB1">
        <w:rPr>
          <w:i/>
          <w:iCs/>
          <w:color w:val="000000" w:themeColor="text1"/>
        </w:rPr>
        <w:t xml:space="preserve">ournal for </w:t>
      </w:r>
      <w:r w:rsidR="00E13316" w:rsidRPr="00DC0DB1">
        <w:rPr>
          <w:i/>
          <w:iCs/>
          <w:color w:val="000000" w:themeColor="text1"/>
        </w:rPr>
        <w:t>g</w:t>
      </w:r>
      <w:r w:rsidRPr="00DC0DB1">
        <w:rPr>
          <w:i/>
          <w:iCs/>
          <w:color w:val="000000" w:themeColor="text1"/>
        </w:rPr>
        <w:t xml:space="preserve">lobal </w:t>
      </w:r>
      <w:r w:rsidR="00E13316" w:rsidRPr="00DC0DB1">
        <w:rPr>
          <w:i/>
          <w:iCs/>
          <w:color w:val="000000" w:themeColor="text1"/>
        </w:rPr>
        <w:t>t</w:t>
      </w:r>
      <w:r w:rsidRPr="00DC0DB1">
        <w:rPr>
          <w:i/>
          <w:iCs/>
          <w:color w:val="000000" w:themeColor="text1"/>
        </w:rPr>
        <w:t xml:space="preserve">heological </w:t>
      </w:r>
      <w:r w:rsidR="00E13316" w:rsidRPr="00DC0DB1">
        <w:rPr>
          <w:i/>
          <w:iCs/>
          <w:color w:val="000000" w:themeColor="text1"/>
        </w:rPr>
        <w:t>e</w:t>
      </w:r>
      <w:r w:rsidRPr="00DC0DB1">
        <w:rPr>
          <w:i/>
          <w:iCs/>
          <w:color w:val="000000" w:themeColor="text1"/>
        </w:rPr>
        <w:t>ducation</w:t>
      </w:r>
      <w:r w:rsidRPr="00DC0DB1">
        <w:rPr>
          <w:color w:val="000000" w:themeColor="text1"/>
        </w:rPr>
        <w:t>, 2</w:t>
      </w:r>
      <w:r w:rsidR="009C1F35" w:rsidRPr="00DC0DB1">
        <w:rPr>
          <w:color w:val="000000" w:themeColor="text1"/>
        </w:rPr>
        <w:t>, 2</w:t>
      </w:r>
      <w:r w:rsidRPr="00DC0DB1">
        <w:rPr>
          <w:color w:val="000000" w:themeColor="text1"/>
        </w:rPr>
        <w:t>, 21–33.</w:t>
      </w:r>
      <w:r w:rsidR="009C1F35" w:rsidRPr="00DC0DB1">
        <w:rPr>
          <w:color w:val="000000" w:themeColor="text1"/>
        </w:rPr>
        <w:t xml:space="preserve"> https://insightsjournal.org/wp-content/uploads/2019/10/InSights-Journal-vol.-2-no.-2.pdf</w:t>
      </w:r>
    </w:p>
    <w:p w14:paraId="26AE2A5C" w14:textId="3E96F59B"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lastRenderedPageBreak/>
        <w:t xml:space="preserve">Dent, D. (2019). </w:t>
      </w:r>
      <w:r w:rsidRPr="00DC0DB1">
        <w:rPr>
          <w:i/>
          <w:iCs/>
          <w:color w:val="000000" w:themeColor="text1"/>
        </w:rPr>
        <w:t xml:space="preserve">The Ongoing </w:t>
      </w:r>
      <w:r w:rsidR="009C1F35" w:rsidRPr="00DC0DB1">
        <w:rPr>
          <w:i/>
          <w:iCs/>
          <w:color w:val="000000" w:themeColor="text1"/>
        </w:rPr>
        <w:t>r</w:t>
      </w:r>
      <w:r w:rsidRPr="00DC0DB1">
        <w:rPr>
          <w:i/>
          <w:iCs/>
          <w:color w:val="000000" w:themeColor="text1"/>
        </w:rPr>
        <w:t xml:space="preserve">ole of </w:t>
      </w:r>
      <w:r w:rsidR="009C1F35" w:rsidRPr="00DC0DB1">
        <w:rPr>
          <w:i/>
          <w:iCs/>
          <w:color w:val="000000" w:themeColor="text1"/>
        </w:rPr>
        <w:t>a</w:t>
      </w:r>
      <w:r w:rsidRPr="00DC0DB1">
        <w:rPr>
          <w:i/>
          <w:iCs/>
          <w:color w:val="000000" w:themeColor="text1"/>
        </w:rPr>
        <w:t xml:space="preserve">postles in </w:t>
      </w:r>
      <w:r w:rsidR="009C1F35" w:rsidRPr="00DC0DB1">
        <w:rPr>
          <w:i/>
          <w:iCs/>
          <w:color w:val="000000" w:themeColor="text1"/>
        </w:rPr>
        <w:t>m</w:t>
      </w:r>
      <w:r w:rsidRPr="00DC0DB1">
        <w:rPr>
          <w:i/>
          <w:iCs/>
          <w:color w:val="000000" w:themeColor="text1"/>
        </w:rPr>
        <w:t xml:space="preserve">issions: </w:t>
      </w:r>
      <w:r w:rsidR="009C1F35" w:rsidRPr="00DC0DB1">
        <w:rPr>
          <w:i/>
          <w:iCs/>
          <w:color w:val="000000" w:themeColor="text1"/>
        </w:rPr>
        <w:t>t</w:t>
      </w:r>
      <w:r w:rsidRPr="00DC0DB1">
        <w:rPr>
          <w:i/>
          <w:iCs/>
          <w:color w:val="000000" w:themeColor="text1"/>
        </w:rPr>
        <w:t>he</w:t>
      </w:r>
      <w:r w:rsidR="009C1F35" w:rsidRPr="00DC0DB1">
        <w:rPr>
          <w:i/>
          <w:iCs/>
          <w:color w:val="000000" w:themeColor="text1"/>
        </w:rPr>
        <w:t xml:space="preserve"> f</w:t>
      </w:r>
      <w:r w:rsidRPr="00DC0DB1">
        <w:rPr>
          <w:i/>
          <w:iCs/>
          <w:color w:val="000000" w:themeColor="text1"/>
        </w:rPr>
        <w:t xml:space="preserve">orgotten </w:t>
      </w:r>
      <w:r w:rsidR="009C1F35" w:rsidRPr="00DC0DB1">
        <w:rPr>
          <w:i/>
          <w:iCs/>
          <w:color w:val="000000" w:themeColor="text1"/>
        </w:rPr>
        <w:t>f</w:t>
      </w:r>
      <w:r w:rsidRPr="00DC0DB1">
        <w:rPr>
          <w:i/>
          <w:iCs/>
          <w:color w:val="000000" w:themeColor="text1"/>
        </w:rPr>
        <w:t>oundation</w:t>
      </w:r>
      <w:r w:rsidRPr="00DC0DB1">
        <w:rPr>
          <w:color w:val="000000" w:themeColor="text1"/>
        </w:rPr>
        <w:t xml:space="preserve">. </w:t>
      </w:r>
      <w:proofErr w:type="spellStart"/>
      <w:r w:rsidRPr="00DC0DB1">
        <w:rPr>
          <w:color w:val="000000" w:themeColor="text1"/>
        </w:rPr>
        <w:t>WestBow</w:t>
      </w:r>
      <w:proofErr w:type="spellEnd"/>
      <w:r w:rsidRPr="00DC0DB1">
        <w:rPr>
          <w:color w:val="000000" w:themeColor="text1"/>
        </w:rPr>
        <w:t>.</w:t>
      </w:r>
    </w:p>
    <w:p w14:paraId="029BCA37" w14:textId="30B1428D" w:rsidR="00F4038A" w:rsidRPr="00DC0DB1" w:rsidRDefault="00F4038A" w:rsidP="006F73D1">
      <w:pPr>
        <w:tabs>
          <w:tab w:val="left" w:pos="360"/>
        </w:tabs>
        <w:spacing w:after="160"/>
        <w:ind w:left="360" w:hanging="360"/>
        <w:jc w:val="both"/>
        <w:rPr>
          <w:color w:val="000000" w:themeColor="text1"/>
        </w:rPr>
      </w:pPr>
      <w:proofErr w:type="spellStart"/>
      <w:r w:rsidRPr="00DC0DB1">
        <w:rPr>
          <w:color w:val="000000" w:themeColor="text1"/>
        </w:rPr>
        <w:t>Dever</w:t>
      </w:r>
      <w:proofErr w:type="spellEnd"/>
      <w:r w:rsidRPr="00DC0DB1">
        <w:rPr>
          <w:color w:val="000000" w:themeColor="text1"/>
        </w:rPr>
        <w:t xml:space="preserve">, M. (2021). </w:t>
      </w:r>
      <w:r w:rsidRPr="00DC0DB1">
        <w:rPr>
          <w:i/>
          <w:iCs/>
          <w:color w:val="000000" w:themeColor="text1"/>
        </w:rPr>
        <w:t xml:space="preserve">Nine </w:t>
      </w:r>
      <w:r w:rsidR="009C1F35" w:rsidRPr="00DC0DB1">
        <w:rPr>
          <w:i/>
          <w:iCs/>
          <w:color w:val="000000" w:themeColor="text1"/>
        </w:rPr>
        <w:t>marks of a healthy church</w:t>
      </w:r>
      <w:r w:rsidR="009C1F35" w:rsidRPr="00DC0DB1">
        <w:rPr>
          <w:color w:val="000000" w:themeColor="text1"/>
        </w:rPr>
        <w:t xml:space="preserve"> </w:t>
      </w:r>
      <w:r w:rsidRPr="00DC0DB1">
        <w:rPr>
          <w:color w:val="000000" w:themeColor="text1"/>
        </w:rPr>
        <w:t>(4th ed</w:t>
      </w:r>
      <w:r w:rsidR="009C1F35" w:rsidRPr="00DC0DB1">
        <w:rPr>
          <w:color w:val="000000" w:themeColor="text1"/>
        </w:rPr>
        <w:t>.</w:t>
      </w:r>
      <w:r w:rsidRPr="00DC0DB1">
        <w:rPr>
          <w:color w:val="000000" w:themeColor="text1"/>
        </w:rPr>
        <w:t>). Crossway.</w:t>
      </w:r>
    </w:p>
    <w:p w14:paraId="2DA95BB3" w14:textId="1D7AF34C"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Finn, N. A. (2018). Knowing </w:t>
      </w:r>
      <w:r w:rsidR="00BB1589" w:rsidRPr="00DC0DB1">
        <w:rPr>
          <w:color w:val="000000" w:themeColor="text1"/>
        </w:rPr>
        <w:t xml:space="preserve">and loving god: toward a theology of </w:t>
      </w:r>
      <w:proofErr w:type="spellStart"/>
      <w:r w:rsidR="00BB1589" w:rsidRPr="00DC0DB1">
        <w:rPr>
          <w:color w:val="000000" w:themeColor="text1"/>
        </w:rPr>
        <w:t>christian</w:t>
      </w:r>
      <w:proofErr w:type="spellEnd"/>
      <w:r w:rsidR="00BB1589" w:rsidRPr="00DC0DB1">
        <w:rPr>
          <w:color w:val="000000" w:themeColor="text1"/>
        </w:rPr>
        <w:t xml:space="preserve"> higher education</w:t>
      </w:r>
      <w:r w:rsidRPr="00DC0DB1">
        <w:rPr>
          <w:color w:val="000000" w:themeColor="text1"/>
        </w:rPr>
        <w:t xml:space="preserve">. </w:t>
      </w:r>
      <w:r w:rsidR="00BB1589" w:rsidRPr="00DC0DB1">
        <w:rPr>
          <w:i/>
          <w:iCs/>
          <w:color w:val="000000" w:themeColor="text1"/>
        </w:rPr>
        <w:t>Christian higher education: faith, teaching, and learning in the evangelical tradition.</w:t>
      </w:r>
      <w:r w:rsidR="00BB1589" w:rsidRPr="00DC0DB1">
        <w:rPr>
          <w:color w:val="000000" w:themeColor="text1"/>
        </w:rPr>
        <w:t xml:space="preserve"> eds.</w:t>
      </w:r>
      <w:r w:rsidR="00F63CD3" w:rsidRPr="00DC0DB1">
        <w:rPr>
          <w:color w:val="000000" w:themeColor="text1"/>
        </w:rPr>
        <w:t>,</w:t>
      </w:r>
      <w:r w:rsidR="00BB1589" w:rsidRPr="00DC0DB1">
        <w:rPr>
          <w:color w:val="000000" w:themeColor="text1"/>
        </w:rPr>
        <w:t xml:space="preserve"> </w:t>
      </w:r>
      <w:r w:rsidRPr="00DC0DB1">
        <w:rPr>
          <w:color w:val="000000" w:themeColor="text1"/>
        </w:rPr>
        <w:t>Dockery</w:t>
      </w:r>
      <w:r w:rsidR="00BB1589" w:rsidRPr="00DC0DB1">
        <w:rPr>
          <w:color w:val="000000" w:themeColor="text1"/>
        </w:rPr>
        <w:t>, D. S.</w:t>
      </w:r>
      <w:r w:rsidRPr="00DC0DB1">
        <w:rPr>
          <w:color w:val="000000" w:themeColor="text1"/>
        </w:rPr>
        <w:t xml:space="preserve"> &amp; Morgan</w:t>
      </w:r>
      <w:r w:rsidR="00BB1589" w:rsidRPr="00DC0DB1">
        <w:rPr>
          <w:color w:val="000000" w:themeColor="text1"/>
        </w:rPr>
        <w:t>, C. W.,</w:t>
      </w:r>
      <w:r w:rsidRPr="00DC0DB1">
        <w:rPr>
          <w:color w:val="000000" w:themeColor="text1"/>
        </w:rPr>
        <w:t xml:space="preserve"> Crossway.</w:t>
      </w:r>
      <w:r w:rsidR="001A34E1" w:rsidRPr="00DC0DB1">
        <w:rPr>
          <w:color w:val="000000" w:themeColor="text1"/>
        </w:rPr>
        <w:t xml:space="preserve"> 39–58.</w:t>
      </w:r>
    </w:p>
    <w:p w14:paraId="552FB2F4" w14:textId="48835AF2"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Frost, M. &amp; Hirsch, A. (2013). </w:t>
      </w:r>
      <w:r w:rsidRPr="00DC0DB1">
        <w:rPr>
          <w:i/>
          <w:iCs/>
          <w:color w:val="000000" w:themeColor="text1"/>
        </w:rPr>
        <w:t xml:space="preserve">The Shaping </w:t>
      </w:r>
      <w:r w:rsidR="00F63CD3" w:rsidRPr="00DC0DB1">
        <w:rPr>
          <w:i/>
          <w:iCs/>
          <w:color w:val="000000" w:themeColor="text1"/>
        </w:rPr>
        <w:t>of things to come: innovation and mission for the 21st-century church</w:t>
      </w:r>
      <w:r w:rsidR="00F63CD3" w:rsidRPr="00DC0DB1">
        <w:rPr>
          <w:color w:val="000000" w:themeColor="text1"/>
        </w:rPr>
        <w:t xml:space="preserve"> </w:t>
      </w:r>
      <w:r w:rsidRPr="00DC0DB1">
        <w:rPr>
          <w:color w:val="000000" w:themeColor="text1"/>
        </w:rPr>
        <w:t>(Revised and Updated). Baker.</w:t>
      </w:r>
    </w:p>
    <w:p w14:paraId="21F10BB7" w14:textId="7244C928" w:rsidR="00F4038A" w:rsidRPr="00DC0DB1" w:rsidRDefault="00F4038A" w:rsidP="006F73D1">
      <w:pPr>
        <w:tabs>
          <w:tab w:val="left" w:pos="360"/>
        </w:tabs>
        <w:spacing w:after="160"/>
        <w:ind w:left="360" w:hanging="360"/>
        <w:jc w:val="both"/>
        <w:rPr>
          <w:color w:val="000000" w:themeColor="text1"/>
        </w:rPr>
      </w:pPr>
      <w:proofErr w:type="spellStart"/>
      <w:r w:rsidRPr="00DC0DB1">
        <w:rPr>
          <w:color w:val="000000" w:themeColor="text1"/>
        </w:rPr>
        <w:t>Geivett</w:t>
      </w:r>
      <w:proofErr w:type="spellEnd"/>
      <w:r w:rsidRPr="00DC0DB1">
        <w:rPr>
          <w:color w:val="000000" w:themeColor="text1"/>
        </w:rPr>
        <w:t xml:space="preserve">, R. D. &amp; </w:t>
      </w:r>
      <w:proofErr w:type="spellStart"/>
      <w:r w:rsidRPr="00DC0DB1">
        <w:rPr>
          <w:color w:val="000000" w:themeColor="text1"/>
        </w:rPr>
        <w:t>Pivec</w:t>
      </w:r>
      <w:proofErr w:type="spellEnd"/>
      <w:r w:rsidRPr="00DC0DB1">
        <w:rPr>
          <w:color w:val="000000" w:themeColor="text1"/>
        </w:rPr>
        <w:t xml:space="preserve">, H. (2019). </w:t>
      </w:r>
      <w:r w:rsidR="001A34E1" w:rsidRPr="00DC0DB1">
        <w:rPr>
          <w:i/>
          <w:iCs/>
          <w:color w:val="000000" w:themeColor="text1"/>
        </w:rPr>
        <w:t xml:space="preserve">a new apostolic </w:t>
      </w:r>
      <w:proofErr w:type="gramStart"/>
      <w:r w:rsidR="001A34E1" w:rsidRPr="00DC0DB1">
        <w:rPr>
          <w:i/>
          <w:iCs/>
          <w:color w:val="000000" w:themeColor="text1"/>
        </w:rPr>
        <w:t>reformation?:</w:t>
      </w:r>
      <w:proofErr w:type="gramEnd"/>
      <w:r w:rsidR="001A34E1" w:rsidRPr="00DC0DB1">
        <w:rPr>
          <w:i/>
          <w:iCs/>
          <w:color w:val="000000" w:themeColor="text1"/>
        </w:rPr>
        <w:t xml:space="preserve"> a biblical response to a worldwide movement</w:t>
      </w:r>
      <w:r w:rsidR="001A34E1" w:rsidRPr="00DC0DB1">
        <w:rPr>
          <w:color w:val="000000" w:themeColor="text1"/>
        </w:rPr>
        <w:t>.</w:t>
      </w:r>
      <w:r w:rsidRPr="00DC0DB1">
        <w:rPr>
          <w:color w:val="000000" w:themeColor="text1"/>
        </w:rPr>
        <w:t xml:space="preserve"> Weaver Book Company.</w:t>
      </w:r>
    </w:p>
    <w:p w14:paraId="375B337D" w14:textId="53E5FC2A"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Greer, P. &amp; Horst, C. (2014). </w:t>
      </w:r>
      <w:r w:rsidRPr="00DC0DB1">
        <w:rPr>
          <w:i/>
          <w:iCs/>
          <w:color w:val="000000" w:themeColor="text1"/>
        </w:rPr>
        <w:t xml:space="preserve">Mission </w:t>
      </w:r>
      <w:r w:rsidR="009D1D1A" w:rsidRPr="00DC0DB1">
        <w:rPr>
          <w:i/>
          <w:iCs/>
          <w:color w:val="000000" w:themeColor="text1"/>
        </w:rPr>
        <w:t>d</w:t>
      </w:r>
      <w:r w:rsidRPr="00DC0DB1">
        <w:rPr>
          <w:i/>
          <w:iCs/>
          <w:color w:val="000000" w:themeColor="text1"/>
        </w:rPr>
        <w:t>rift</w:t>
      </w:r>
      <w:r w:rsidRPr="00DC0DB1">
        <w:rPr>
          <w:color w:val="000000" w:themeColor="text1"/>
        </w:rPr>
        <w:t>. Bethany House.</w:t>
      </w:r>
    </w:p>
    <w:p w14:paraId="40D30B3E" w14:textId="5893B5E7"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Grudem, W. (2000). </w:t>
      </w:r>
      <w:r w:rsidRPr="00DC0DB1">
        <w:rPr>
          <w:i/>
          <w:iCs/>
          <w:color w:val="000000" w:themeColor="text1"/>
        </w:rPr>
        <w:t xml:space="preserve">The Gift </w:t>
      </w:r>
      <w:r w:rsidR="009D1D1A" w:rsidRPr="00DC0DB1">
        <w:rPr>
          <w:i/>
          <w:iCs/>
          <w:color w:val="000000" w:themeColor="text1"/>
        </w:rPr>
        <w:t xml:space="preserve">of prophecy in the </w:t>
      </w:r>
      <w:proofErr w:type="gramStart"/>
      <w:r w:rsidR="009D1D1A" w:rsidRPr="00DC0DB1">
        <w:rPr>
          <w:i/>
          <w:iCs/>
          <w:color w:val="000000" w:themeColor="text1"/>
        </w:rPr>
        <w:t>new testament</w:t>
      </w:r>
      <w:proofErr w:type="gramEnd"/>
      <w:r w:rsidR="009D1D1A" w:rsidRPr="00DC0DB1">
        <w:rPr>
          <w:i/>
          <w:iCs/>
          <w:color w:val="000000" w:themeColor="text1"/>
        </w:rPr>
        <w:t xml:space="preserve"> and today</w:t>
      </w:r>
      <w:r w:rsidR="009D1D1A" w:rsidRPr="00DC0DB1">
        <w:rPr>
          <w:color w:val="000000" w:themeColor="text1"/>
        </w:rPr>
        <w:t xml:space="preserve"> </w:t>
      </w:r>
      <w:r w:rsidRPr="00DC0DB1">
        <w:rPr>
          <w:color w:val="000000" w:themeColor="text1"/>
        </w:rPr>
        <w:t>(Revised Edition). Crossway.</w:t>
      </w:r>
    </w:p>
    <w:p w14:paraId="7B631247" w14:textId="456C2B70"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Hamon, B. (1987). </w:t>
      </w:r>
      <w:r w:rsidRPr="00DC0DB1">
        <w:rPr>
          <w:i/>
          <w:iCs/>
          <w:color w:val="000000" w:themeColor="text1"/>
        </w:rPr>
        <w:t xml:space="preserve">Prophets and </w:t>
      </w:r>
      <w:r w:rsidR="009D1D1A" w:rsidRPr="00DC0DB1">
        <w:rPr>
          <w:i/>
          <w:iCs/>
          <w:color w:val="000000" w:themeColor="text1"/>
        </w:rPr>
        <w:t>personal prophecy: god’s prophetic voice today</w:t>
      </w:r>
      <w:r w:rsidRPr="00DC0DB1">
        <w:rPr>
          <w:color w:val="000000" w:themeColor="text1"/>
        </w:rPr>
        <w:t>. Destiny Image.</w:t>
      </w:r>
    </w:p>
    <w:p w14:paraId="61CB4B91" w14:textId="775C3E2F" w:rsidR="00D909F2" w:rsidRPr="00DC0DB1" w:rsidRDefault="00D909F2" w:rsidP="006F73D1">
      <w:pPr>
        <w:tabs>
          <w:tab w:val="left" w:pos="360"/>
        </w:tabs>
        <w:spacing w:after="160"/>
        <w:ind w:left="360" w:hanging="360"/>
        <w:jc w:val="both"/>
        <w:rPr>
          <w:color w:val="000000" w:themeColor="text1"/>
        </w:rPr>
      </w:pPr>
      <w:r w:rsidRPr="00DC0DB1">
        <w:rPr>
          <w:color w:val="000000" w:themeColor="text1"/>
        </w:rPr>
        <w:t>Hamon, B. (1997).</w:t>
      </w:r>
      <w:r w:rsidR="003A2D59" w:rsidRPr="00DC0DB1">
        <w:rPr>
          <w:color w:val="000000" w:themeColor="text1"/>
        </w:rPr>
        <w:t xml:space="preserve"> </w:t>
      </w:r>
      <w:r w:rsidR="003A2D59" w:rsidRPr="00DC0DB1">
        <w:rPr>
          <w:i/>
          <w:iCs/>
          <w:color w:val="000000" w:themeColor="text1"/>
        </w:rPr>
        <w:t xml:space="preserve">Apostles, prophet, and the coming moves of </w:t>
      </w:r>
      <w:proofErr w:type="gramStart"/>
      <w:r w:rsidR="008D0405" w:rsidRPr="00DC0DB1">
        <w:rPr>
          <w:i/>
          <w:iCs/>
          <w:color w:val="000000" w:themeColor="text1"/>
        </w:rPr>
        <w:t>god</w:t>
      </w:r>
      <w:proofErr w:type="gramEnd"/>
      <w:r w:rsidR="008D0405" w:rsidRPr="00DC0DB1">
        <w:rPr>
          <w:i/>
          <w:iCs/>
          <w:color w:val="000000" w:themeColor="text1"/>
        </w:rPr>
        <w:t>: god’s end time-plans for his church and planet earth</w:t>
      </w:r>
      <w:r w:rsidR="008D0405" w:rsidRPr="00DC0DB1">
        <w:rPr>
          <w:color w:val="000000" w:themeColor="text1"/>
        </w:rPr>
        <w:t xml:space="preserve">. </w:t>
      </w:r>
      <w:r w:rsidR="007F021B" w:rsidRPr="00DC0DB1">
        <w:rPr>
          <w:color w:val="000000" w:themeColor="text1"/>
        </w:rPr>
        <w:t>Christian International.</w:t>
      </w:r>
    </w:p>
    <w:p w14:paraId="22C115F2" w14:textId="11A161C6"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Hill, D. (1978). </w:t>
      </w:r>
      <w:proofErr w:type="gramStart"/>
      <w:r w:rsidRPr="00DC0DB1">
        <w:rPr>
          <w:i/>
          <w:iCs/>
          <w:color w:val="000000" w:themeColor="text1"/>
        </w:rPr>
        <w:t xml:space="preserve">New </w:t>
      </w:r>
      <w:r w:rsidR="0041033C" w:rsidRPr="00DC0DB1">
        <w:rPr>
          <w:i/>
          <w:iCs/>
          <w:color w:val="000000" w:themeColor="text1"/>
        </w:rPr>
        <w:t>testament</w:t>
      </w:r>
      <w:proofErr w:type="gramEnd"/>
      <w:r w:rsidR="0041033C" w:rsidRPr="00DC0DB1">
        <w:rPr>
          <w:i/>
          <w:iCs/>
          <w:color w:val="000000" w:themeColor="text1"/>
        </w:rPr>
        <w:t xml:space="preserve"> prophecy</w:t>
      </w:r>
      <w:r w:rsidRPr="00DC0DB1">
        <w:rPr>
          <w:color w:val="000000" w:themeColor="text1"/>
        </w:rPr>
        <w:t>. John Knox.</w:t>
      </w:r>
    </w:p>
    <w:p w14:paraId="6473AAF8" w14:textId="2F2C7888"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Hirt, M. (</w:t>
      </w:r>
      <w:r w:rsidR="00B35D1B" w:rsidRPr="00DC0DB1">
        <w:rPr>
          <w:color w:val="000000" w:themeColor="text1"/>
        </w:rPr>
        <w:t>2021</w:t>
      </w:r>
      <w:r w:rsidRPr="00DC0DB1">
        <w:rPr>
          <w:color w:val="000000" w:themeColor="text1"/>
        </w:rPr>
        <w:t xml:space="preserve">). </w:t>
      </w:r>
      <w:r w:rsidR="00B35D1B" w:rsidRPr="00DC0DB1">
        <w:rPr>
          <w:color w:val="000000" w:themeColor="text1"/>
        </w:rPr>
        <w:t>generational disciple-making and the missional classroom: the submariner turned apostolic academician</w:t>
      </w:r>
      <w:r w:rsidRPr="00DC0DB1">
        <w:rPr>
          <w:color w:val="000000" w:themeColor="text1"/>
        </w:rPr>
        <w:t>.</w:t>
      </w:r>
      <w:r w:rsidR="00B35D1B" w:rsidRPr="00DC0DB1">
        <w:rPr>
          <w:color w:val="000000" w:themeColor="text1"/>
        </w:rPr>
        <w:t xml:space="preserve"> </w:t>
      </w:r>
      <w:r w:rsidR="00B35D1B" w:rsidRPr="00DC0DB1">
        <w:rPr>
          <w:i/>
          <w:iCs/>
          <w:color w:val="000000" w:themeColor="text1"/>
        </w:rPr>
        <w:t xml:space="preserve">Generational disciple-making: how ordinary followers of </w:t>
      </w:r>
      <w:proofErr w:type="spellStart"/>
      <w:r w:rsidR="00B35D1B" w:rsidRPr="00DC0DB1">
        <w:rPr>
          <w:i/>
          <w:iCs/>
          <w:color w:val="000000" w:themeColor="text1"/>
        </w:rPr>
        <w:t>jesus</w:t>
      </w:r>
      <w:proofErr w:type="spellEnd"/>
      <w:r w:rsidR="00B35D1B" w:rsidRPr="00DC0DB1">
        <w:rPr>
          <w:i/>
          <w:iCs/>
          <w:color w:val="000000" w:themeColor="text1"/>
        </w:rPr>
        <w:t xml:space="preserve"> are transformed into extraordinary fishers of men</w:t>
      </w:r>
      <w:r w:rsidR="00B35D1B" w:rsidRPr="00DC0DB1">
        <w:rPr>
          <w:color w:val="000000" w:themeColor="text1"/>
        </w:rPr>
        <w:t>.</w:t>
      </w:r>
      <w:r w:rsidRPr="00DC0DB1">
        <w:rPr>
          <w:color w:val="000000" w:themeColor="text1"/>
        </w:rPr>
        <w:t xml:space="preserve"> </w:t>
      </w:r>
      <w:r w:rsidR="00B35D1B" w:rsidRPr="00DC0DB1">
        <w:rPr>
          <w:color w:val="000000" w:themeColor="text1"/>
        </w:rPr>
        <w:t xml:space="preserve">eds., </w:t>
      </w:r>
      <w:r w:rsidRPr="00DC0DB1">
        <w:rPr>
          <w:color w:val="000000" w:themeColor="text1"/>
        </w:rPr>
        <w:t>Robinson</w:t>
      </w:r>
      <w:r w:rsidR="00F70E62" w:rsidRPr="00DC0DB1">
        <w:rPr>
          <w:color w:val="000000" w:themeColor="text1"/>
        </w:rPr>
        <w:t>, G. G.</w:t>
      </w:r>
      <w:r w:rsidRPr="00DC0DB1">
        <w:rPr>
          <w:color w:val="000000" w:themeColor="text1"/>
        </w:rPr>
        <w:t xml:space="preserve"> &amp; Hirt</w:t>
      </w:r>
      <w:r w:rsidR="00B35D1B" w:rsidRPr="00DC0DB1">
        <w:rPr>
          <w:color w:val="000000" w:themeColor="text1"/>
        </w:rPr>
        <w:t>, M.</w:t>
      </w:r>
      <w:r w:rsidR="00F70E62" w:rsidRPr="00DC0DB1">
        <w:rPr>
          <w:color w:val="000000" w:themeColor="text1"/>
        </w:rPr>
        <w:t xml:space="preserve">, Rainer. </w:t>
      </w:r>
      <w:r w:rsidR="007B25AB" w:rsidRPr="00DC0DB1">
        <w:rPr>
          <w:color w:val="000000" w:themeColor="text1"/>
        </w:rPr>
        <w:t>159–178.</w:t>
      </w:r>
    </w:p>
    <w:p w14:paraId="4472E5ED" w14:textId="1D5B119B" w:rsidR="00F4038A" w:rsidRPr="00DC0DB1" w:rsidRDefault="00F4038A" w:rsidP="006F73D1">
      <w:pPr>
        <w:tabs>
          <w:tab w:val="left" w:pos="360"/>
        </w:tabs>
        <w:spacing w:after="160"/>
        <w:ind w:left="360" w:hanging="360"/>
        <w:jc w:val="both"/>
        <w:rPr>
          <w:color w:val="000000" w:themeColor="text1"/>
        </w:rPr>
      </w:pPr>
      <w:proofErr w:type="spellStart"/>
      <w:r w:rsidRPr="00DC0DB1">
        <w:rPr>
          <w:color w:val="000000" w:themeColor="text1"/>
        </w:rPr>
        <w:t>Kähler</w:t>
      </w:r>
      <w:proofErr w:type="spellEnd"/>
      <w:r w:rsidRPr="00DC0DB1">
        <w:rPr>
          <w:color w:val="000000" w:themeColor="text1"/>
        </w:rPr>
        <w:t xml:space="preserve">, M. (1971). </w:t>
      </w:r>
      <w:proofErr w:type="spellStart"/>
      <w:r w:rsidRPr="00DC0DB1">
        <w:rPr>
          <w:i/>
          <w:iCs/>
          <w:color w:val="000000" w:themeColor="text1"/>
        </w:rPr>
        <w:t>Schriften</w:t>
      </w:r>
      <w:proofErr w:type="spellEnd"/>
      <w:r w:rsidRPr="00DC0DB1">
        <w:rPr>
          <w:i/>
          <w:iCs/>
          <w:color w:val="000000" w:themeColor="text1"/>
        </w:rPr>
        <w:t xml:space="preserve"> </w:t>
      </w:r>
      <w:proofErr w:type="spellStart"/>
      <w:r w:rsidR="00B656C8" w:rsidRPr="00DC0DB1">
        <w:rPr>
          <w:i/>
          <w:iCs/>
          <w:color w:val="000000" w:themeColor="text1"/>
        </w:rPr>
        <w:t>zur</w:t>
      </w:r>
      <w:proofErr w:type="spellEnd"/>
      <w:r w:rsidR="00B656C8" w:rsidRPr="00DC0DB1">
        <w:rPr>
          <w:i/>
          <w:iCs/>
          <w:color w:val="000000" w:themeColor="text1"/>
        </w:rPr>
        <w:t xml:space="preserve"> </w:t>
      </w:r>
      <w:proofErr w:type="spellStart"/>
      <w:r w:rsidR="00B656C8" w:rsidRPr="00DC0DB1">
        <w:rPr>
          <w:i/>
          <w:iCs/>
          <w:color w:val="000000" w:themeColor="text1"/>
        </w:rPr>
        <w:t>christologie</w:t>
      </w:r>
      <w:proofErr w:type="spellEnd"/>
      <w:r w:rsidR="00B656C8" w:rsidRPr="00DC0DB1">
        <w:rPr>
          <w:i/>
          <w:iCs/>
          <w:color w:val="000000" w:themeColor="text1"/>
        </w:rPr>
        <w:t xml:space="preserve"> und mission</w:t>
      </w:r>
      <w:r w:rsidRPr="00DC0DB1">
        <w:rPr>
          <w:color w:val="000000" w:themeColor="text1"/>
        </w:rPr>
        <w:t>. Chr. Kaiser Ver Lag.</w:t>
      </w:r>
    </w:p>
    <w:p w14:paraId="06EB9C47" w14:textId="62115672"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Keener, C. S. (2012). </w:t>
      </w:r>
      <w:r w:rsidRPr="00DC0DB1">
        <w:rPr>
          <w:i/>
          <w:iCs/>
          <w:color w:val="000000" w:themeColor="text1"/>
        </w:rPr>
        <w:t xml:space="preserve">Acts: </w:t>
      </w:r>
      <w:r w:rsidR="00B656C8" w:rsidRPr="00DC0DB1">
        <w:rPr>
          <w:i/>
          <w:iCs/>
          <w:color w:val="000000" w:themeColor="text1"/>
        </w:rPr>
        <w:t>an exegetical commentary: volume 1: introduction and 1:1–2:47</w:t>
      </w:r>
      <w:r w:rsidRPr="00DC0DB1">
        <w:rPr>
          <w:color w:val="000000" w:themeColor="text1"/>
        </w:rPr>
        <w:t>. Baker Academic.</w:t>
      </w:r>
    </w:p>
    <w:p w14:paraId="17D707D8" w14:textId="35AF4521"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Knights, C. (2018). Prophecy </w:t>
      </w:r>
      <w:r w:rsidR="00B656C8" w:rsidRPr="00DC0DB1">
        <w:rPr>
          <w:color w:val="000000" w:themeColor="text1"/>
        </w:rPr>
        <w:t xml:space="preserve">and preaching: does what </w:t>
      </w:r>
      <w:proofErr w:type="spellStart"/>
      <w:r w:rsidR="00B656C8" w:rsidRPr="00DC0DB1">
        <w:rPr>
          <w:color w:val="000000" w:themeColor="text1"/>
        </w:rPr>
        <w:t>paul</w:t>
      </w:r>
      <w:proofErr w:type="spellEnd"/>
      <w:r w:rsidR="00B656C8" w:rsidRPr="00DC0DB1">
        <w:rPr>
          <w:color w:val="000000" w:themeColor="text1"/>
        </w:rPr>
        <w:t xml:space="preserve"> calls “prophecy” in 1 </w:t>
      </w:r>
      <w:proofErr w:type="spellStart"/>
      <w:r w:rsidR="00B656C8" w:rsidRPr="00DC0DB1">
        <w:rPr>
          <w:color w:val="000000" w:themeColor="text1"/>
        </w:rPr>
        <w:t>corinthians</w:t>
      </w:r>
      <w:proofErr w:type="spellEnd"/>
      <w:r w:rsidR="00B656C8" w:rsidRPr="00DC0DB1">
        <w:rPr>
          <w:color w:val="000000" w:themeColor="text1"/>
        </w:rPr>
        <w:t xml:space="preserve"> 14 include what we would today call “preaching</w:t>
      </w:r>
      <w:r w:rsidRPr="00DC0DB1">
        <w:rPr>
          <w:color w:val="000000" w:themeColor="text1"/>
        </w:rPr>
        <w:t xml:space="preserve">”? </w:t>
      </w:r>
      <w:r w:rsidRPr="00DC0DB1">
        <w:rPr>
          <w:i/>
          <w:iCs/>
          <w:color w:val="000000" w:themeColor="text1"/>
        </w:rPr>
        <w:t xml:space="preserve">Expository </w:t>
      </w:r>
      <w:r w:rsidR="00B656C8" w:rsidRPr="00DC0DB1">
        <w:rPr>
          <w:i/>
          <w:iCs/>
          <w:color w:val="000000" w:themeColor="text1"/>
        </w:rPr>
        <w:t>times</w:t>
      </w:r>
      <w:r w:rsidRPr="00DC0DB1">
        <w:rPr>
          <w:color w:val="000000" w:themeColor="text1"/>
        </w:rPr>
        <w:t>, 130</w:t>
      </w:r>
      <w:r w:rsidR="00B656C8" w:rsidRPr="00DC0DB1">
        <w:rPr>
          <w:color w:val="000000" w:themeColor="text1"/>
        </w:rPr>
        <w:t xml:space="preserve">, </w:t>
      </w:r>
      <w:r w:rsidRPr="00DC0DB1">
        <w:rPr>
          <w:color w:val="000000" w:themeColor="text1"/>
        </w:rPr>
        <w:t>2, 72–79.</w:t>
      </w:r>
    </w:p>
    <w:p w14:paraId="2F5497DA" w14:textId="46B3072F"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MacArthur, J. (1986). </w:t>
      </w:r>
      <w:r w:rsidRPr="00DC0DB1">
        <w:rPr>
          <w:i/>
          <w:iCs/>
          <w:color w:val="000000" w:themeColor="text1"/>
        </w:rPr>
        <w:t>Ephesians</w:t>
      </w:r>
      <w:r w:rsidRPr="00DC0DB1">
        <w:rPr>
          <w:color w:val="000000" w:themeColor="text1"/>
        </w:rPr>
        <w:t>. Moody.</w:t>
      </w:r>
    </w:p>
    <w:p w14:paraId="5B524A61" w14:textId="4DE8EB13"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Merkle, B. L. (2016). </w:t>
      </w:r>
      <w:r w:rsidRPr="00DC0DB1">
        <w:rPr>
          <w:i/>
          <w:iCs/>
          <w:color w:val="000000" w:themeColor="text1"/>
        </w:rPr>
        <w:t>Ephesians</w:t>
      </w:r>
      <w:r w:rsidRPr="00DC0DB1">
        <w:rPr>
          <w:color w:val="000000" w:themeColor="text1"/>
        </w:rPr>
        <w:t>. B&amp;H Academic.</w:t>
      </w:r>
    </w:p>
    <w:p w14:paraId="7EFC5050" w14:textId="3907C22E" w:rsidR="00F4038A" w:rsidRPr="00DC0DB1" w:rsidRDefault="001B2367" w:rsidP="006F73D1">
      <w:pPr>
        <w:tabs>
          <w:tab w:val="left" w:pos="360"/>
        </w:tabs>
        <w:spacing w:after="160"/>
        <w:ind w:left="360" w:hanging="360"/>
        <w:jc w:val="both"/>
        <w:rPr>
          <w:color w:val="000000" w:themeColor="text1"/>
        </w:rPr>
      </w:pPr>
      <w:r w:rsidRPr="00DC0DB1">
        <w:rPr>
          <w:color w:val="000000" w:themeColor="text1"/>
        </w:rPr>
        <w:t>_____</w:t>
      </w:r>
      <w:r w:rsidR="00F4038A" w:rsidRPr="00DC0DB1">
        <w:rPr>
          <w:color w:val="000000" w:themeColor="text1"/>
        </w:rPr>
        <w:t xml:space="preserve"> (2022). </w:t>
      </w:r>
      <w:r w:rsidR="00F4038A" w:rsidRPr="00DC0DB1">
        <w:rPr>
          <w:i/>
          <w:iCs/>
          <w:color w:val="000000" w:themeColor="text1"/>
        </w:rPr>
        <w:t>United to Christ, Walking in the Spirit: A Theology of Ephesians</w:t>
      </w:r>
      <w:r w:rsidR="00F4038A" w:rsidRPr="00DC0DB1">
        <w:rPr>
          <w:color w:val="000000" w:themeColor="text1"/>
        </w:rPr>
        <w:t>. Crossway.</w:t>
      </w:r>
    </w:p>
    <w:p w14:paraId="30A20E8A" w14:textId="79B14044" w:rsidR="00F4038A" w:rsidRPr="00DC0DB1" w:rsidRDefault="00F4038A" w:rsidP="006F73D1">
      <w:pPr>
        <w:tabs>
          <w:tab w:val="left" w:pos="360"/>
        </w:tabs>
        <w:spacing w:after="160"/>
        <w:ind w:left="360" w:hanging="360"/>
        <w:jc w:val="both"/>
        <w:rPr>
          <w:color w:val="000000" w:themeColor="text1"/>
        </w:rPr>
      </w:pPr>
      <w:r w:rsidRPr="00DC0DB1">
        <w:rPr>
          <w:i/>
          <w:iCs/>
          <w:color w:val="000000" w:themeColor="text1"/>
        </w:rPr>
        <w:t xml:space="preserve">NAR </w:t>
      </w:r>
      <w:r w:rsidR="00DD6094" w:rsidRPr="00DC0DB1">
        <w:rPr>
          <w:i/>
          <w:iCs/>
          <w:color w:val="000000" w:themeColor="text1"/>
        </w:rPr>
        <w:t xml:space="preserve">and </w:t>
      </w:r>
      <w:proofErr w:type="spellStart"/>
      <w:r w:rsidR="00DD6094" w:rsidRPr="00DC0DB1">
        <w:rPr>
          <w:i/>
          <w:iCs/>
          <w:color w:val="000000" w:themeColor="text1"/>
        </w:rPr>
        <w:t>christian</w:t>
      </w:r>
      <w:proofErr w:type="spellEnd"/>
      <w:r w:rsidR="00DD6094" w:rsidRPr="00DC0DB1">
        <w:rPr>
          <w:i/>
          <w:iCs/>
          <w:color w:val="000000" w:themeColor="text1"/>
        </w:rPr>
        <w:t xml:space="preserve"> nationalism statement</w:t>
      </w:r>
      <w:r w:rsidRPr="00DC0DB1">
        <w:rPr>
          <w:color w:val="000000" w:themeColor="text1"/>
        </w:rPr>
        <w:t xml:space="preserve"> (2022). </w:t>
      </w:r>
      <w:hyperlink r:id="rId9" w:history="1">
        <w:r w:rsidRPr="00DC0DB1">
          <w:rPr>
            <w:rStyle w:val="Hyperlink"/>
            <w:color w:val="000000" w:themeColor="text1"/>
          </w:rPr>
          <w:t>https://narandchristiannationalism.com</w:t>
        </w:r>
      </w:hyperlink>
    </w:p>
    <w:p w14:paraId="5414992D" w14:textId="3BDB30A9"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Payne, J. D. (2021). </w:t>
      </w:r>
      <w:r w:rsidRPr="00DC0DB1">
        <w:rPr>
          <w:i/>
          <w:iCs/>
          <w:color w:val="000000" w:themeColor="text1"/>
        </w:rPr>
        <w:t xml:space="preserve">Theology </w:t>
      </w:r>
      <w:r w:rsidR="00DD6094" w:rsidRPr="00DC0DB1">
        <w:rPr>
          <w:i/>
          <w:iCs/>
          <w:color w:val="000000" w:themeColor="text1"/>
        </w:rPr>
        <w:t>of mission: a concise biblical theo</w:t>
      </w:r>
      <w:r w:rsidRPr="00DC0DB1">
        <w:rPr>
          <w:i/>
          <w:iCs/>
          <w:color w:val="000000" w:themeColor="text1"/>
        </w:rPr>
        <w:t>logy</w:t>
      </w:r>
      <w:r w:rsidRPr="00DC0DB1">
        <w:rPr>
          <w:color w:val="000000" w:themeColor="text1"/>
        </w:rPr>
        <w:t xml:space="preserve">. </w:t>
      </w:r>
      <w:proofErr w:type="spellStart"/>
      <w:r w:rsidRPr="00DC0DB1">
        <w:rPr>
          <w:color w:val="000000" w:themeColor="text1"/>
        </w:rPr>
        <w:t>Lexham</w:t>
      </w:r>
      <w:proofErr w:type="spellEnd"/>
      <w:r w:rsidRPr="00DC0DB1">
        <w:rPr>
          <w:color w:val="000000" w:themeColor="text1"/>
        </w:rPr>
        <w:t>.</w:t>
      </w:r>
    </w:p>
    <w:p w14:paraId="35453368" w14:textId="1FFB5D94" w:rsidR="00F4038A" w:rsidRPr="00DC0DB1" w:rsidRDefault="00F4038A" w:rsidP="006F73D1">
      <w:pPr>
        <w:tabs>
          <w:tab w:val="left" w:pos="360"/>
        </w:tabs>
        <w:spacing w:after="160"/>
        <w:ind w:left="360" w:hanging="360"/>
        <w:jc w:val="both"/>
        <w:rPr>
          <w:color w:val="000000" w:themeColor="text1"/>
        </w:rPr>
      </w:pPr>
      <w:r w:rsidRPr="00DC0DB1">
        <w:rPr>
          <w:i/>
          <w:iCs/>
          <w:color w:val="000000" w:themeColor="text1"/>
        </w:rPr>
        <w:t xml:space="preserve">Prophetic </w:t>
      </w:r>
      <w:r w:rsidR="00DD6094" w:rsidRPr="00DC0DB1">
        <w:rPr>
          <w:i/>
          <w:iCs/>
          <w:color w:val="000000" w:themeColor="text1"/>
        </w:rPr>
        <w:t>standards statement</w:t>
      </w:r>
      <w:r w:rsidRPr="00DC0DB1">
        <w:rPr>
          <w:color w:val="000000" w:themeColor="text1"/>
        </w:rPr>
        <w:t xml:space="preserve"> (2022). </w:t>
      </w:r>
      <w:hyperlink r:id="rId10" w:history="1">
        <w:r w:rsidRPr="00DC0DB1">
          <w:rPr>
            <w:rStyle w:val="Hyperlink"/>
            <w:color w:val="000000" w:themeColor="text1"/>
          </w:rPr>
          <w:t>https://propheticstandards.com</w:t>
        </w:r>
      </w:hyperlink>
    </w:p>
    <w:p w14:paraId="2325CC7D" w14:textId="0EBCD57E" w:rsidR="00F4038A"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Silva, M. (Ed.). (2014). </w:t>
      </w:r>
      <w:proofErr w:type="spellStart"/>
      <w:r w:rsidRPr="00DC0DB1">
        <w:rPr>
          <w:color w:val="000000" w:themeColor="text1"/>
        </w:rPr>
        <w:t>Ἐργάζομ</w:t>
      </w:r>
      <w:proofErr w:type="spellEnd"/>
      <w:r w:rsidRPr="00DC0DB1">
        <w:rPr>
          <w:color w:val="000000" w:themeColor="text1"/>
        </w:rPr>
        <w:t xml:space="preserve">αι. </w:t>
      </w:r>
      <w:r w:rsidRPr="00DC0DB1">
        <w:rPr>
          <w:i/>
          <w:iCs/>
          <w:color w:val="000000" w:themeColor="text1"/>
        </w:rPr>
        <w:t xml:space="preserve">New </w:t>
      </w:r>
      <w:r w:rsidR="00CD6D52" w:rsidRPr="00DC0DB1">
        <w:rPr>
          <w:i/>
          <w:iCs/>
          <w:color w:val="000000" w:themeColor="text1"/>
        </w:rPr>
        <w:t xml:space="preserve">international dictionary of </w:t>
      </w:r>
      <w:proofErr w:type="gramStart"/>
      <w:r w:rsidR="00CD6D52" w:rsidRPr="00DC0DB1">
        <w:rPr>
          <w:i/>
          <w:iCs/>
          <w:color w:val="000000" w:themeColor="text1"/>
        </w:rPr>
        <w:t>new testament</w:t>
      </w:r>
      <w:proofErr w:type="gramEnd"/>
      <w:r w:rsidR="00CD6D52" w:rsidRPr="00DC0DB1">
        <w:rPr>
          <w:i/>
          <w:iCs/>
          <w:color w:val="000000" w:themeColor="text1"/>
        </w:rPr>
        <w:t xml:space="preserve"> theology and exegesis</w:t>
      </w:r>
      <w:r w:rsidRPr="00DC0DB1">
        <w:rPr>
          <w:color w:val="000000" w:themeColor="text1"/>
        </w:rPr>
        <w:t>. Zondervan.</w:t>
      </w:r>
      <w:r w:rsidR="00CD6D52" w:rsidRPr="00DC0DB1">
        <w:rPr>
          <w:color w:val="000000" w:themeColor="text1"/>
        </w:rPr>
        <w:t xml:space="preserve"> 266–272</w:t>
      </w:r>
    </w:p>
    <w:p w14:paraId="7C229E5D" w14:textId="147077D8" w:rsidR="00F4038A" w:rsidRPr="00DC0DB1" w:rsidRDefault="00F4038A" w:rsidP="006F73D1">
      <w:pPr>
        <w:tabs>
          <w:tab w:val="left" w:pos="360"/>
        </w:tabs>
        <w:spacing w:after="160"/>
        <w:ind w:left="360" w:hanging="360"/>
        <w:jc w:val="both"/>
        <w:rPr>
          <w:color w:val="000000" w:themeColor="text1"/>
        </w:rPr>
      </w:pPr>
      <w:proofErr w:type="spellStart"/>
      <w:r w:rsidRPr="00DC0DB1">
        <w:rPr>
          <w:color w:val="000000" w:themeColor="text1"/>
        </w:rPr>
        <w:lastRenderedPageBreak/>
        <w:t>Thiselton</w:t>
      </w:r>
      <w:proofErr w:type="spellEnd"/>
      <w:r w:rsidRPr="00DC0DB1">
        <w:rPr>
          <w:color w:val="000000" w:themeColor="text1"/>
        </w:rPr>
        <w:t xml:space="preserve">, A. C. (2000). </w:t>
      </w:r>
      <w:r w:rsidRPr="00DC0DB1">
        <w:rPr>
          <w:i/>
          <w:iCs/>
          <w:color w:val="000000" w:themeColor="text1"/>
        </w:rPr>
        <w:t xml:space="preserve">The First </w:t>
      </w:r>
      <w:r w:rsidR="00B5788F" w:rsidRPr="00DC0DB1">
        <w:rPr>
          <w:i/>
          <w:iCs/>
          <w:color w:val="000000" w:themeColor="text1"/>
        </w:rPr>
        <w:t xml:space="preserve">epistle to the </w:t>
      </w:r>
      <w:proofErr w:type="spellStart"/>
      <w:r w:rsidR="00B5788F" w:rsidRPr="00DC0DB1">
        <w:rPr>
          <w:i/>
          <w:iCs/>
          <w:color w:val="000000" w:themeColor="text1"/>
        </w:rPr>
        <w:t>corinthians</w:t>
      </w:r>
      <w:proofErr w:type="spellEnd"/>
      <w:r w:rsidR="00B5788F" w:rsidRPr="00DC0DB1">
        <w:rPr>
          <w:i/>
          <w:iCs/>
          <w:color w:val="000000" w:themeColor="text1"/>
        </w:rPr>
        <w:t xml:space="preserve">: a commentary on the </w:t>
      </w:r>
      <w:proofErr w:type="spellStart"/>
      <w:r w:rsidR="00B5788F" w:rsidRPr="00DC0DB1">
        <w:rPr>
          <w:i/>
          <w:iCs/>
          <w:color w:val="000000" w:themeColor="text1"/>
        </w:rPr>
        <w:t>greek</w:t>
      </w:r>
      <w:proofErr w:type="spellEnd"/>
      <w:r w:rsidR="00B5788F" w:rsidRPr="00DC0DB1">
        <w:rPr>
          <w:i/>
          <w:iCs/>
          <w:color w:val="000000" w:themeColor="text1"/>
        </w:rPr>
        <w:t xml:space="preserve"> text</w:t>
      </w:r>
      <w:r w:rsidRPr="00DC0DB1">
        <w:rPr>
          <w:color w:val="000000" w:themeColor="text1"/>
        </w:rPr>
        <w:t>. Eerdmans.</w:t>
      </w:r>
    </w:p>
    <w:p w14:paraId="18F4AAA5" w14:textId="578F07A0" w:rsidR="00B5788F" w:rsidRPr="00DC0DB1" w:rsidRDefault="00F4038A" w:rsidP="006F73D1">
      <w:pPr>
        <w:tabs>
          <w:tab w:val="left" w:pos="360"/>
        </w:tabs>
        <w:spacing w:after="160"/>
        <w:ind w:left="360" w:hanging="360"/>
        <w:jc w:val="both"/>
        <w:rPr>
          <w:color w:val="000000" w:themeColor="text1"/>
        </w:rPr>
      </w:pPr>
      <w:r w:rsidRPr="00DC0DB1">
        <w:rPr>
          <w:color w:val="000000" w:themeColor="text1"/>
        </w:rPr>
        <w:t xml:space="preserve">Wagner, C. P. (1999). </w:t>
      </w:r>
      <w:proofErr w:type="spellStart"/>
      <w:proofErr w:type="gramStart"/>
      <w:r w:rsidRPr="00DC0DB1">
        <w:rPr>
          <w:i/>
          <w:iCs/>
          <w:color w:val="000000" w:themeColor="text1"/>
        </w:rPr>
        <w:t>Churchquake</w:t>
      </w:r>
      <w:proofErr w:type="spellEnd"/>
      <w:r w:rsidRPr="00DC0DB1">
        <w:rPr>
          <w:i/>
          <w:iCs/>
          <w:color w:val="000000" w:themeColor="text1"/>
        </w:rPr>
        <w:t>!:</w:t>
      </w:r>
      <w:proofErr w:type="gramEnd"/>
      <w:r w:rsidRPr="00DC0DB1">
        <w:rPr>
          <w:i/>
          <w:iCs/>
          <w:color w:val="000000" w:themeColor="text1"/>
        </w:rPr>
        <w:t xml:space="preserve"> </w:t>
      </w:r>
      <w:r w:rsidR="00B5788F" w:rsidRPr="00DC0DB1">
        <w:rPr>
          <w:i/>
          <w:iCs/>
          <w:color w:val="000000" w:themeColor="text1"/>
        </w:rPr>
        <w:t>how the new apostolic reformation is shaking up the church as we know it</w:t>
      </w:r>
      <w:r w:rsidRPr="00DC0DB1">
        <w:rPr>
          <w:color w:val="000000" w:themeColor="text1"/>
        </w:rPr>
        <w:t>. Regal.</w:t>
      </w:r>
    </w:p>
    <w:p w14:paraId="3EEC810D" w14:textId="36BFA31C" w:rsidR="00082970" w:rsidRPr="00DC0DB1" w:rsidRDefault="001B2367" w:rsidP="006F73D1">
      <w:pPr>
        <w:tabs>
          <w:tab w:val="left" w:pos="360"/>
        </w:tabs>
        <w:spacing w:after="160"/>
        <w:ind w:left="360" w:hanging="360"/>
        <w:jc w:val="both"/>
        <w:rPr>
          <w:color w:val="000000" w:themeColor="text1"/>
        </w:rPr>
      </w:pPr>
      <w:r w:rsidRPr="00DC0DB1">
        <w:rPr>
          <w:color w:val="000000" w:themeColor="text1"/>
        </w:rPr>
        <w:t>_____</w:t>
      </w:r>
      <w:r w:rsidR="00F4038A" w:rsidRPr="00DC0DB1">
        <w:rPr>
          <w:color w:val="000000" w:themeColor="text1"/>
        </w:rPr>
        <w:t xml:space="preserve"> (2011, August 24). The New </w:t>
      </w:r>
      <w:r w:rsidR="00B5788F" w:rsidRPr="00DC0DB1">
        <w:rPr>
          <w:color w:val="000000" w:themeColor="text1"/>
        </w:rPr>
        <w:t>apostolic reformation is not a cult</w:t>
      </w:r>
      <w:r w:rsidR="00F4038A" w:rsidRPr="00DC0DB1">
        <w:rPr>
          <w:color w:val="000000" w:themeColor="text1"/>
        </w:rPr>
        <w:t xml:space="preserve">. </w:t>
      </w:r>
      <w:r w:rsidR="00F4038A" w:rsidRPr="00DC0DB1">
        <w:rPr>
          <w:i/>
          <w:iCs/>
          <w:color w:val="000000" w:themeColor="text1"/>
        </w:rPr>
        <w:t xml:space="preserve">Charisma </w:t>
      </w:r>
      <w:r w:rsidR="00B5788F" w:rsidRPr="00DC0DB1">
        <w:rPr>
          <w:i/>
          <w:iCs/>
          <w:color w:val="000000" w:themeColor="text1"/>
        </w:rPr>
        <w:t>n</w:t>
      </w:r>
      <w:r w:rsidR="00F4038A" w:rsidRPr="00DC0DB1">
        <w:rPr>
          <w:i/>
          <w:iCs/>
          <w:color w:val="000000" w:themeColor="text1"/>
        </w:rPr>
        <w:t>ews</w:t>
      </w:r>
      <w:r w:rsidR="00F4038A" w:rsidRPr="00DC0DB1">
        <w:rPr>
          <w:color w:val="000000" w:themeColor="text1"/>
        </w:rPr>
        <w:t xml:space="preserve">. </w:t>
      </w:r>
      <w:hyperlink r:id="rId11" w:history="1">
        <w:r w:rsidR="00F4038A" w:rsidRPr="00DC0DB1">
          <w:rPr>
            <w:rStyle w:val="Hyperlink"/>
            <w:color w:val="000000" w:themeColor="text1"/>
          </w:rPr>
          <w:t>https://www.charismanews.com/opinion/31851-the-new-apostolic-reformation-is-not-a-cult.</w:t>
        </w:r>
      </w:hyperlink>
    </w:p>
    <w:sectPr w:rsidR="00082970" w:rsidRPr="00DC0DB1" w:rsidSect="000968A9">
      <w:headerReference w:type="even" r:id="rId12"/>
      <w:headerReference w:type="default" r:id="rId13"/>
      <w:footerReference w:type="default" r:id="rId14"/>
      <w:footerReference w:type="first" r:id="rId15"/>
      <w:endnotePr>
        <w:numFmt w:val="decimal"/>
      </w:endnotePr>
      <w:pgSz w:w="12240" w:h="15840"/>
      <w:pgMar w:top="1440" w:right="1440" w:bottom="1440" w:left="1440" w:header="720" w:footer="720"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11A9" w14:textId="77777777" w:rsidR="00322667" w:rsidRDefault="00322667" w:rsidP="009849F9">
      <w:r>
        <w:separator/>
      </w:r>
    </w:p>
  </w:endnote>
  <w:endnote w:type="continuationSeparator" w:id="0">
    <w:p w14:paraId="4CE4B20A" w14:textId="77777777" w:rsidR="00322667" w:rsidRDefault="00322667" w:rsidP="009849F9">
      <w:r>
        <w:continuationSeparator/>
      </w:r>
    </w:p>
  </w:endnote>
  <w:endnote w:id="1">
    <w:p w14:paraId="690BAB7A" w14:textId="0D3C171C" w:rsidR="00630C34" w:rsidRPr="00DB551D" w:rsidRDefault="00630C34" w:rsidP="00071784">
      <w:pPr>
        <w:pStyle w:val="EndnoteText"/>
        <w:ind w:left="115" w:hanging="115"/>
        <w:jc w:val="both"/>
      </w:pPr>
      <w:r>
        <w:rPr>
          <w:rStyle w:val="EndnoteReference"/>
        </w:rPr>
        <w:endnoteRef/>
      </w:r>
      <w:r>
        <w:t xml:space="preserve"> </w:t>
      </w:r>
      <w:r w:rsidRPr="00244EB0">
        <w:rPr>
          <w:i/>
          <w:iCs/>
        </w:rPr>
        <w:t>Ergon</w:t>
      </w:r>
      <w:r>
        <w:t xml:space="preserve"> in the Pauline Epistles often carries the connotation of the missionary task. </w:t>
      </w:r>
      <w:r w:rsidRPr="00244EB0">
        <w:t>The</w:t>
      </w:r>
      <w:r>
        <w:t xml:space="preserve"> following verses use </w:t>
      </w:r>
      <w:r>
        <w:rPr>
          <w:i/>
          <w:iCs/>
        </w:rPr>
        <w:t>ergon</w:t>
      </w:r>
      <w:r>
        <w:t xml:space="preserve"> in reference to the missionary task: 1 Cor 9:1; 16:10; 2 Cor 1:24; 9:8; Phil 2:30; 1 Thess 5:13; 2 Thess 1:11; 2 Tim 2:15, 21; 3:17; 4:5.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4320" w14:textId="3B1FF69B" w:rsidR="00F36DCF" w:rsidRDefault="00F36DCF" w:rsidP="00F36DCF">
    <w:pPr>
      <w:pStyle w:val="Footer"/>
      <w:jc w:val="center"/>
    </w:pPr>
    <w:r w:rsidRPr="00231D5E">
      <w:rPr>
        <w:i/>
        <w:iCs/>
        <w:sz w:val="20"/>
        <w:szCs w:val="20"/>
      </w:rPr>
      <w:t xml:space="preserve">Global Missiology </w:t>
    </w:r>
    <w:r w:rsidRPr="00231D5E">
      <w:rPr>
        <w:sz w:val="20"/>
        <w:szCs w:val="20"/>
      </w:rPr>
      <w:t xml:space="preserve">- ISSN 2831-4751 - Vol </w:t>
    </w:r>
    <w:r>
      <w:rPr>
        <w:sz w:val="20"/>
        <w:szCs w:val="20"/>
        <w:lang w:eastAsia="ja-JP"/>
      </w:rPr>
      <w:t>20</w:t>
    </w:r>
    <w:r w:rsidRPr="00231D5E">
      <w:rPr>
        <w:rFonts w:hint="eastAsia"/>
        <w:sz w:val="20"/>
        <w:szCs w:val="20"/>
        <w:lang w:eastAsia="ja-JP"/>
      </w:rPr>
      <w:t>,</w:t>
    </w:r>
    <w:r w:rsidRPr="00231D5E">
      <w:rPr>
        <w:sz w:val="20"/>
        <w:szCs w:val="20"/>
      </w:rPr>
      <w:t xml:space="preserve"> No </w:t>
    </w:r>
    <w:r>
      <w:rPr>
        <w:sz w:val="20"/>
        <w:szCs w:val="20"/>
      </w:rPr>
      <w:t>2</w:t>
    </w:r>
    <w:r w:rsidRPr="00231D5E">
      <w:rPr>
        <w:sz w:val="20"/>
        <w:szCs w:val="20"/>
      </w:rPr>
      <w:t xml:space="preserve"> (</w:t>
    </w:r>
    <w:r>
      <w:rPr>
        <w:sz w:val="20"/>
        <w:szCs w:val="20"/>
      </w:rPr>
      <w:t>2023</w:t>
    </w:r>
    <w:r w:rsidRPr="00231D5E">
      <w:rPr>
        <w:sz w:val="20"/>
        <w:szCs w:val="20"/>
      </w:rPr>
      <w:t xml:space="preserve">) </w:t>
    </w:r>
    <w:r>
      <w:rPr>
        <w:sz w:val="20"/>
        <w:szCs w:val="20"/>
      </w:rPr>
      <w:t>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5D14" w14:textId="569EDA21" w:rsidR="00F36DCF" w:rsidRDefault="00F36DCF" w:rsidP="00F36DCF">
    <w:pPr>
      <w:pStyle w:val="Footer"/>
      <w:jc w:val="center"/>
    </w:pPr>
    <w:r w:rsidRPr="00231D5E">
      <w:rPr>
        <w:i/>
        <w:iCs/>
        <w:sz w:val="20"/>
        <w:szCs w:val="20"/>
      </w:rPr>
      <w:t xml:space="preserve">Global Missiology </w:t>
    </w:r>
    <w:r w:rsidRPr="00231D5E">
      <w:rPr>
        <w:sz w:val="20"/>
        <w:szCs w:val="20"/>
      </w:rPr>
      <w:t xml:space="preserve">- ISSN 2831-4751 - Vol </w:t>
    </w:r>
    <w:r>
      <w:rPr>
        <w:sz w:val="20"/>
        <w:szCs w:val="20"/>
        <w:lang w:eastAsia="ja-JP"/>
      </w:rPr>
      <w:t>20</w:t>
    </w:r>
    <w:r w:rsidRPr="00231D5E">
      <w:rPr>
        <w:rFonts w:hint="eastAsia"/>
        <w:sz w:val="20"/>
        <w:szCs w:val="20"/>
        <w:lang w:eastAsia="ja-JP"/>
      </w:rPr>
      <w:t>,</w:t>
    </w:r>
    <w:r w:rsidRPr="00231D5E">
      <w:rPr>
        <w:sz w:val="20"/>
        <w:szCs w:val="20"/>
      </w:rPr>
      <w:t xml:space="preserve"> No </w:t>
    </w:r>
    <w:r>
      <w:rPr>
        <w:sz w:val="20"/>
        <w:szCs w:val="20"/>
      </w:rPr>
      <w:t>2</w:t>
    </w:r>
    <w:r w:rsidRPr="00231D5E">
      <w:rPr>
        <w:sz w:val="20"/>
        <w:szCs w:val="20"/>
      </w:rPr>
      <w:t xml:space="preserve"> (</w:t>
    </w:r>
    <w:r>
      <w:rPr>
        <w:sz w:val="20"/>
        <w:szCs w:val="20"/>
      </w:rPr>
      <w:t>2023</w:t>
    </w:r>
    <w:r w:rsidRPr="00231D5E">
      <w:rPr>
        <w:sz w:val="20"/>
        <w:szCs w:val="20"/>
      </w:rPr>
      <w:t xml:space="preserve">) </w:t>
    </w:r>
    <w:r>
      <w:rPr>
        <w:sz w:val="20"/>
        <w:szCs w:val="20"/>
      </w:rPr>
      <w:t>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50A0" w14:textId="77777777" w:rsidR="00322667" w:rsidRDefault="00322667" w:rsidP="009849F9">
      <w:r>
        <w:separator/>
      </w:r>
    </w:p>
  </w:footnote>
  <w:footnote w:type="continuationSeparator" w:id="0">
    <w:p w14:paraId="0E5D72DB" w14:textId="77777777" w:rsidR="00322667" w:rsidRDefault="00322667" w:rsidP="00984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2889710"/>
      <w:docPartObj>
        <w:docPartGallery w:val="Page Numbers (Top of Page)"/>
        <w:docPartUnique/>
      </w:docPartObj>
    </w:sdtPr>
    <w:sdtContent>
      <w:p w14:paraId="195F2896" w14:textId="3E881880" w:rsidR="00F36DCF" w:rsidRDefault="00F36DCF" w:rsidP="002207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2BB6002" w14:textId="77777777" w:rsidR="00F36DCF" w:rsidRDefault="00F36DCF" w:rsidP="00F36D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8845822"/>
      <w:docPartObj>
        <w:docPartGallery w:val="Page Numbers (Top of Page)"/>
        <w:docPartUnique/>
      </w:docPartObj>
    </w:sdtPr>
    <w:sdtEndPr>
      <w:rPr>
        <w:rStyle w:val="PageNumber"/>
        <w:sz w:val="20"/>
        <w:szCs w:val="20"/>
      </w:rPr>
    </w:sdtEndPr>
    <w:sdtContent>
      <w:p w14:paraId="5C23E18B" w14:textId="16E25B83" w:rsidR="00F36DCF" w:rsidRPr="00F36DCF" w:rsidRDefault="00F36DCF" w:rsidP="002207B7">
        <w:pPr>
          <w:pStyle w:val="Header"/>
          <w:framePr w:wrap="none" w:vAnchor="text" w:hAnchor="margin" w:xAlign="right" w:y="1"/>
          <w:rPr>
            <w:rStyle w:val="PageNumber"/>
            <w:sz w:val="20"/>
            <w:szCs w:val="20"/>
          </w:rPr>
        </w:pPr>
        <w:r w:rsidRPr="00F36DCF">
          <w:rPr>
            <w:rStyle w:val="PageNumber"/>
            <w:sz w:val="20"/>
            <w:szCs w:val="20"/>
          </w:rPr>
          <w:fldChar w:fldCharType="begin"/>
        </w:r>
        <w:r w:rsidRPr="00F36DCF">
          <w:rPr>
            <w:rStyle w:val="PageNumber"/>
            <w:sz w:val="20"/>
            <w:szCs w:val="20"/>
          </w:rPr>
          <w:instrText xml:space="preserve"> PAGE </w:instrText>
        </w:r>
        <w:r w:rsidRPr="00F36DCF">
          <w:rPr>
            <w:rStyle w:val="PageNumber"/>
            <w:sz w:val="20"/>
            <w:szCs w:val="20"/>
          </w:rPr>
          <w:fldChar w:fldCharType="separate"/>
        </w:r>
        <w:r w:rsidRPr="00F36DCF">
          <w:rPr>
            <w:rStyle w:val="PageNumber"/>
            <w:noProof/>
            <w:sz w:val="20"/>
            <w:szCs w:val="20"/>
          </w:rPr>
          <w:t>2</w:t>
        </w:r>
        <w:r w:rsidRPr="00F36DCF">
          <w:rPr>
            <w:rStyle w:val="PageNumber"/>
            <w:sz w:val="20"/>
            <w:szCs w:val="20"/>
          </w:rPr>
          <w:fldChar w:fldCharType="end"/>
        </w:r>
      </w:p>
    </w:sdtContent>
  </w:sdt>
  <w:p w14:paraId="5FF8856F" w14:textId="77777777" w:rsidR="00F36DCF" w:rsidRDefault="00F36DCF" w:rsidP="00F36DC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75"/>
    <w:rsid w:val="00000508"/>
    <w:rsid w:val="00005891"/>
    <w:rsid w:val="000069CA"/>
    <w:rsid w:val="000142E5"/>
    <w:rsid w:val="000144C9"/>
    <w:rsid w:val="00014778"/>
    <w:rsid w:val="0001725B"/>
    <w:rsid w:val="000509BE"/>
    <w:rsid w:val="00051DF0"/>
    <w:rsid w:val="00071784"/>
    <w:rsid w:val="000719FF"/>
    <w:rsid w:val="0007486A"/>
    <w:rsid w:val="0007623F"/>
    <w:rsid w:val="00077E32"/>
    <w:rsid w:val="0008101A"/>
    <w:rsid w:val="000820AC"/>
    <w:rsid w:val="00082970"/>
    <w:rsid w:val="000876D2"/>
    <w:rsid w:val="00090849"/>
    <w:rsid w:val="000947D3"/>
    <w:rsid w:val="0009540E"/>
    <w:rsid w:val="00096058"/>
    <w:rsid w:val="000968A9"/>
    <w:rsid w:val="000A1357"/>
    <w:rsid w:val="000B3EEC"/>
    <w:rsid w:val="000C744B"/>
    <w:rsid w:val="000E3198"/>
    <w:rsid w:val="000E526B"/>
    <w:rsid w:val="00103EE5"/>
    <w:rsid w:val="00104D58"/>
    <w:rsid w:val="00114168"/>
    <w:rsid w:val="00116098"/>
    <w:rsid w:val="001270DD"/>
    <w:rsid w:val="00132D98"/>
    <w:rsid w:val="00141650"/>
    <w:rsid w:val="00145396"/>
    <w:rsid w:val="00145BC7"/>
    <w:rsid w:val="00151234"/>
    <w:rsid w:val="00152374"/>
    <w:rsid w:val="001759D0"/>
    <w:rsid w:val="00176336"/>
    <w:rsid w:val="00183D9B"/>
    <w:rsid w:val="00184F47"/>
    <w:rsid w:val="00196B42"/>
    <w:rsid w:val="001974F1"/>
    <w:rsid w:val="001A04AA"/>
    <w:rsid w:val="001A34E1"/>
    <w:rsid w:val="001A3608"/>
    <w:rsid w:val="001A672B"/>
    <w:rsid w:val="001A6763"/>
    <w:rsid w:val="001B156B"/>
    <w:rsid w:val="001B2367"/>
    <w:rsid w:val="001B4C1D"/>
    <w:rsid w:val="001C4BFF"/>
    <w:rsid w:val="001D1419"/>
    <w:rsid w:val="001D5459"/>
    <w:rsid w:val="001E6950"/>
    <w:rsid w:val="001F47F9"/>
    <w:rsid w:val="001F599F"/>
    <w:rsid w:val="0020469F"/>
    <w:rsid w:val="00206164"/>
    <w:rsid w:val="00213505"/>
    <w:rsid w:val="002163AF"/>
    <w:rsid w:val="00220CD7"/>
    <w:rsid w:val="00223539"/>
    <w:rsid w:val="002372FD"/>
    <w:rsid w:val="00240773"/>
    <w:rsid w:val="00243A6E"/>
    <w:rsid w:val="00244EB0"/>
    <w:rsid w:val="002617D7"/>
    <w:rsid w:val="00267D9E"/>
    <w:rsid w:val="00267EA1"/>
    <w:rsid w:val="00270A6D"/>
    <w:rsid w:val="002721EC"/>
    <w:rsid w:val="00272A67"/>
    <w:rsid w:val="002774D5"/>
    <w:rsid w:val="0028507A"/>
    <w:rsid w:val="00295F11"/>
    <w:rsid w:val="00296C97"/>
    <w:rsid w:val="002A1A5A"/>
    <w:rsid w:val="002A419F"/>
    <w:rsid w:val="002B0B84"/>
    <w:rsid w:val="002B1657"/>
    <w:rsid w:val="002C0910"/>
    <w:rsid w:val="002C2850"/>
    <w:rsid w:val="002D1375"/>
    <w:rsid w:val="002D52B0"/>
    <w:rsid w:val="002D61E6"/>
    <w:rsid w:val="002E4AA4"/>
    <w:rsid w:val="002F110D"/>
    <w:rsid w:val="002F2B4D"/>
    <w:rsid w:val="002F7749"/>
    <w:rsid w:val="003042DB"/>
    <w:rsid w:val="003077EB"/>
    <w:rsid w:val="00322667"/>
    <w:rsid w:val="00334212"/>
    <w:rsid w:val="003342B2"/>
    <w:rsid w:val="0034201F"/>
    <w:rsid w:val="00346680"/>
    <w:rsid w:val="00355816"/>
    <w:rsid w:val="00356EA9"/>
    <w:rsid w:val="00357C2E"/>
    <w:rsid w:val="00363E6A"/>
    <w:rsid w:val="003655CC"/>
    <w:rsid w:val="003737FB"/>
    <w:rsid w:val="00376958"/>
    <w:rsid w:val="003828AF"/>
    <w:rsid w:val="00390143"/>
    <w:rsid w:val="0039674D"/>
    <w:rsid w:val="003A1024"/>
    <w:rsid w:val="003A2D59"/>
    <w:rsid w:val="003A6461"/>
    <w:rsid w:val="003A6C6A"/>
    <w:rsid w:val="003A7FDD"/>
    <w:rsid w:val="003C4CE1"/>
    <w:rsid w:val="003D1B15"/>
    <w:rsid w:val="003D4E20"/>
    <w:rsid w:val="003D6E8C"/>
    <w:rsid w:val="003E0899"/>
    <w:rsid w:val="003E5F20"/>
    <w:rsid w:val="003F3464"/>
    <w:rsid w:val="003F62CE"/>
    <w:rsid w:val="00402FF7"/>
    <w:rsid w:val="004032FC"/>
    <w:rsid w:val="004056D1"/>
    <w:rsid w:val="00406005"/>
    <w:rsid w:val="0041033C"/>
    <w:rsid w:val="00411F64"/>
    <w:rsid w:val="0041451F"/>
    <w:rsid w:val="004212C9"/>
    <w:rsid w:val="0042468D"/>
    <w:rsid w:val="00432EC2"/>
    <w:rsid w:val="00437A20"/>
    <w:rsid w:val="00437E9A"/>
    <w:rsid w:val="004421F8"/>
    <w:rsid w:val="00444007"/>
    <w:rsid w:val="004460D1"/>
    <w:rsid w:val="00456D77"/>
    <w:rsid w:val="00457BA5"/>
    <w:rsid w:val="00461EB9"/>
    <w:rsid w:val="00464062"/>
    <w:rsid w:val="004647C6"/>
    <w:rsid w:val="00466BD8"/>
    <w:rsid w:val="00467B5B"/>
    <w:rsid w:val="004723BA"/>
    <w:rsid w:val="00480057"/>
    <w:rsid w:val="00481874"/>
    <w:rsid w:val="00496573"/>
    <w:rsid w:val="004A191E"/>
    <w:rsid w:val="004C1362"/>
    <w:rsid w:val="004F6BB7"/>
    <w:rsid w:val="00507F78"/>
    <w:rsid w:val="00511AA2"/>
    <w:rsid w:val="00511CB1"/>
    <w:rsid w:val="00517D24"/>
    <w:rsid w:val="0052436D"/>
    <w:rsid w:val="00532EFC"/>
    <w:rsid w:val="00536DBE"/>
    <w:rsid w:val="00542E23"/>
    <w:rsid w:val="00542F39"/>
    <w:rsid w:val="005547B6"/>
    <w:rsid w:val="00556EF7"/>
    <w:rsid w:val="00571C5A"/>
    <w:rsid w:val="0057345B"/>
    <w:rsid w:val="00573958"/>
    <w:rsid w:val="00574523"/>
    <w:rsid w:val="00585BF0"/>
    <w:rsid w:val="00587074"/>
    <w:rsid w:val="0059417A"/>
    <w:rsid w:val="00594E9A"/>
    <w:rsid w:val="00595472"/>
    <w:rsid w:val="005A28C0"/>
    <w:rsid w:val="005A2A5B"/>
    <w:rsid w:val="005B7B04"/>
    <w:rsid w:val="005C4CEB"/>
    <w:rsid w:val="005C5314"/>
    <w:rsid w:val="005C642A"/>
    <w:rsid w:val="005D50BD"/>
    <w:rsid w:val="005D54A7"/>
    <w:rsid w:val="005D6E33"/>
    <w:rsid w:val="005F61C1"/>
    <w:rsid w:val="00601238"/>
    <w:rsid w:val="00605650"/>
    <w:rsid w:val="006219BD"/>
    <w:rsid w:val="006245F4"/>
    <w:rsid w:val="00626237"/>
    <w:rsid w:val="0062642A"/>
    <w:rsid w:val="00630C34"/>
    <w:rsid w:val="00632D57"/>
    <w:rsid w:val="006345EB"/>
    <w:rsid w:val="00646E98"/>
    <w:rsid w:val="0065085F"/>
    <w:rsid w:val="006519E3"/>
    <w:rsid w:val="00660298"/>
    <w:rsid w:val="00665A3D"/>
    <w:rsid w:val="0067582C"/>
    <w:rsid w:val="00676C9D"/>
    <w:rsid w:val="00685A1F"/>
    <w:rsid w:val="00687355"/>
    <w:rsid w:val="006908D6"/>
    <w:rsid w:val="006949ED"/>
    <w:rsid w:val="006A15FC"/>
    <w:rsid w:val="006B2B82"/>
    <w:rsid w:val="006B7BDA"/>
    <w:rsid w:val="006C00C1"/>
    <w:rsid w:val="006C34CA"/>
    <w:rsid w:val="006D3932"/>
    <w:rsid w:val="006F369A"/>
    <w:rsid w:val="006F485A"/>
    <w:rsid w:val="006F73A2"/>
    <w:rsid w:val="006F73D1"/>
    <w:rsid w:val="007151B0"/>
    <w:rsid w:val="00715927"/>
    <w:rsid w:val="007303C9"/>
    <w:rsid w:val="007306F3"/>
    <w:rsid w:val="00733E78"/>
    <w:rsid w:val="00742DAA"/>
    <w:rsid w:val="007432AA"/>
    <w:rsid w:val="007458F9"/>
    <w:rsid w:val="00750CF1"/>
    <w:rsid w:val="007539A2"/>
    <w:rsid w:val="00754ACD"/>
    <w:rsid w:val="0076613D"/>
    <w:rsid w:val="00772D62"/>
    <w:rsid w:val="007747F9"/>
    <w:rsid w:val="00784A82"/>
    <w:rsid w:val="00784D74"/>
    <w:rsid w:val="007958DB"/>
    <w:rsid w:val="007A30CE"/>
    <w:rsid w:val="007A4B8B"/>
    <w:rsid w:val="007B25AB"/>
    <w:rsid w:val="007C3D23"/>
    <w:rsid w:val="007C51DF"/>
    <w:rsid w:val="007C6905"/>
    <w:rsid w:val="007D0EAA"/>
    <w:rsid w:val="007D5551"/>
    <w:rsid w:val="007F021B"/>
    <w:rsid w:val="007F74E0"/>
    <w:rsid w:val="0081222B"/>
    <w:rsid w:val="008133F9"/>
    <w:rsid w:val="00823017"/>
    <w:rsid w:val="00824A67"/>
    <w:rsid w:val="00832849"/>
    <w:rsid w:val="00833618"/>
    <w:rsid w:val="008359CD"/>
    <w:rsid w:val="00837F5E"/>
    <w:rsid w:val="00844C46"/>
    <w:rsid w:val="00847C3E"/>
    <w:rsid w:val="008522BF"/>
    <w:rsid w:val="00854529"/>
    <w:rsid w:val="00861D3F"/>
    <w:rsid w:val="00865D6D"/>
    <w:rsid w:val="00870190"/>
    <w:rsid w:val="0087293A"/>
    <w:rsid w:val="00875B67"/>
    <w:rsid w:val="00884787"/>
    <w:rsid w:val="00885906"/>
    <w:rsid w:val="008A7500"/>
    <w:rsid w:val="008B5761"/>
    <w:rsid w:val="008B5AD0"/>
    <w:rsid w:val="008B64E3"/>
    <w:rsid w:val="008C0B8E"/>
    <w:rsid w:val="008C1D8D"/>
    <w:rsid w:val="008C6342"/>
    <w:rsid w:val="008D0405"/>
    <w:rsid w:val="008D1615"/>
    <w:rsid w:val="008D4DE3"/>
    <w:rsid w:val="008D5732"/>
    <w:rsid w:val="008F1883"/>
    <w:rsid w:val="00907F8A"/>
    <w:rsid w:val="009108CF"/>
    <w:rsid w:val="0091710D"/>
    <w:rsid w:val="00917E69"/>
    <w:rsid w:val="00924752"/>
    <w:rsid w:val="00924984"/>
    <w:rsid w:val="00926FF2"/>
    <w:rsid w:val="009274DD"/>
    <w:rsid w:val="009275EA"/>
    <w:rsid w:val="00942650"/>
    <w:rsid w:val="00951832"/>
    <w:rsid w:val="00953624"/>
    <w:rsid w:val="00955466"/>
    <w:rsid w:val="00955CFF"/>
    <w:rsid w:val="009629ED"/>
    <w:rsid w:val="009849F9"/>
    <w:rsid w:val="00984A59"/>
    <w:rsid w:val="00986BC8"/>
    <w:rsid w:val="00991668"/>
    <w:rsid w:val="00993494"/>
    <w:rsid w:val="009966AB"/>
    <w:rsid w:val="009B0897"/>
    <w:rsid w:val="009B2501"/>
    <w:rsid w:val="009B4531"/>
    <w:rsid w:val="009C1F35"/>
    <w:rsid w:val="009C7139"/>
    <w:rsid w:val="009C78AF"/>
    <w:rsid w:val="009D19D0"/>
    <w:rsid w:val="009D1D1A"/>
    <w:rsid w:val="009D5005"/>
    <w:rsid w:val="009E09A0"/>
    <w:rsid w:val="009F2F3A"/>
    <w:rsid w:val="009F579D"/>
    <w:rsid w:val="00A004A3"/>
    <w:rsid w:val="00A11727"/>
    <w:rsid w:val="00A154CF"/>
    <w:rsid w:val="00A16952"/>
    <w:rsid w:val="00A20099"/>
    <w:rsid w:val="00A22017"/>
    <w:rsid w:val="00A27EE5"/>
    <w:rsid w:val="00A3290F"/>
    <w:rsid w:val="00A46E9C"/>
    <w:rsid w:val="00A51B3A"/>
    <w:rsid w:val="00A52AAC"/>
    <w:rsid w:val="00A75C49"/>
    <w:rsid w:val="00A7689E"/>
    <w:rsid w:val="00A80EA3"/>
    <w:rsid w:val="00A82F52"/>
    <w:rsid w:val="00A8409A"/>
    <w:rsid w:val="00A860AC"/>
    <w:rsid w:val="00A90902"/>
    <w:rsid w:val="00A93CDF"/>
    <w:rsid w:val="00A9498D"/>
    <w:rsid w:val="00A95910"/>
    <w:rsid w:val="00AB1327"/>
    <w:rsid w:val="00AB479C"/>
    <w:rsid w:val="00AD283E"/>
    <w:rsid w:val="00AD2B2E"/>
    <w:rsid w:val="00AD2EA2"/>
    <w:rsid w:val="00AD35E0"/>
    <w:rsid w:val="00AD4B17"/>
    <w:rsid w:val="00AE456A"/>
    <w:rsid w:val="00AE54AE"/>
    <w:rsid w:val="00B07E52"/>
    <w:rsid w:val="00B112D4"/>
    <w:rsid w:val="00B20751"/>
    <w:rsid w:val="00B2235F"/>
    <w:rsid w:val="00B22D9A"/>
    <w:rsid w:val="00B24170"/>
    <w:rsid w:val="00B3271F"/>
    <w:rsid w:val="00B35D1B"/>
    <w:rsid w:val="00B361C6"/>
    <w:rsid w:val="00B37719"/>
    <w:rsid w:val="00B4625C"/>
    <w:rsid w:val="00B47EF7"/>
    <w:rsid w:val="00B504C2"/>
    <w:rsid w:val="00B5312E"/>
    <w:rsid w:val="00B53EA3"/>
    <w:rsid w:val="00B5788F"/>
    <w:rsid w:val="00B628C8"/>
    <w:rsid w:val="00B62ACE"/>
    <w:rsid w:val="00B656C8"/>
    <w:rsid w:val="00B70872"/>
    <w:rsid w:val="00B75BC8"/>
    <w:rsid w:val="00B80D08"/>
    <w:rsid w:val="00B81E40"/>
    <w:rsid w:val="00B84566"/>
    <w:rsid w:val="00B86DA8"/>
    <w:rsid w:val="00B95160"/>
    <w:rsid w:val="00B96A09"/>
    <w:rsid w:val="00BA0823"/>
    <w:rsid w:val="00BA396F"/>
    <w:rsid w:val="00BA445E"/>
    <w:rsid w:val="00BB1589"/>
    <w:rsid w:val="00BB4F2A"/>
    <w:rsid w:val="00BD364B"/>
    <w:rsid w:val="00BD366B"/>
    <w:rsid w:val="00BE290D"/>
    <w:rsid w:val="00BE7468"/>
    <w:rsid w:val="00C00B3B"/>
    <w:rsid w:val="00C056F7"/>
    <w:rsid w:val="00C06EF3"/>
    <w:rsid w:val="00C1005E"/>
    <w:rsid w:val="00C14089"/>
    <w:rsid w:val="00C203CB"/>
    <w:rsid w:val="00C373E5"/>
    <w:rsid w:val="00C46489"/>
    <w:rsid w:val="00C47745"/>
    <w:rsid w:val="00C83CB5"/>
    <w:rsid w:val="00CA59B5"/>
    <w:rsid w:val="00CC083B"/>
    <w:rsid w:val="00CC1EBA"/>
    <w:rsid w:val="00CD0307"/>
    <w:rsid w:val="00CD386A"/>
    <w:rsid w:val="00CD4C80"/>
    <w:rsid w:val="00CD6D52"/>
    <w:rsid w:val="00CD7D25"/>
    <w:rsid w:val="00CE5754"/>
    <w:rsid w:val="00CF0C84"/>
    <w:rsid w:val="00CF3FD6"/>
    <w:rsid w:val="00D0142E"/>
    <w:rsid w:val="00D019E3"/>
    <w:rsid w:val="00D04122"/>
    <w:rsid w:val="00D063FE"/>
    <w:rsid w:val="00D201AF"/>
    <w:rsid w:val="00D2067D"/>
    <w:rsid w:val="00D2294D"/>
    <w:rsid w:val="00D23859"/>
    <w:rsid w:val="00D2754E"/>
    <w:rsid w:val="00D31CC7"/>
    <w:rsid w:val="00D46035"/>
    <w:rsid w:val="00D50AFB"/>
    <w:rsid w:val="00D530DE"/>
    <w:rsid w:val="00D54677"/>
    <w:rsid w:val="00D62107"/>
    <w:rsid w:val="00D62E29"/>
    <w:rsid w:val="00D660C9"/>
    <w:rsid w:val="00D7549D"/>
    <w:rsid w:val="00D75E0C"/>
    <w:rsid w:val="00D772B2"/>
    <w:rsid w:val="00D8116E"/>
    <w:rsid w:val="00D830E1"/>
    <w:rsid w:val="00D84974"/>
    <w:rsid w:val="00D869B8"/>
    <w:rsid w:val="00D879BE"/>
    <w:rsid w:val="00D909F2"/>
    <w:rsid w:val="00D93B0B"/>
    <w:rsid w:val="00DA03EA"/>
    <w:rsid w:val="00DA3041"/>
    <w:rsid w:val="00DA7CDA"/>
    <w:rsid w:val="00DB551D"/>
    <w:rsid w:val="00DC0DB1"/>
    <w:rsid w:val="00DC198E"/>
    <w:rsid w:val="00DC6EC5"/>
    <w:rsid w:val="00DC7098"/>
    <w:rsid w:val="00DC71D2"/>
    <w:rsid w:val="00DC725C"/>
    <w:rsid w:val="00DD6094"/>
    <w:rsid w:val="00DE02D5"/>
    <w:rsid w:val="00DE3F6E"/>
    <w:rsid w:val="00DE73C4"/>
    <w:rsid w:val="00DF2BF2"/>
    <w:rsid w:val="00DF33F9"/>
    <w:rsid w:val="00DF3E23"/>
    <w:rsid w:val="00DF4D47"/>
    <w:rsid w:val="00DF74C8"/>
    <w:rsid w:val="00E00D59"/>
    <w:rsid w:val="00E13316"/>
    <w:rsid w:val="00E23141"/>
    <w:rsid w:val="00E245DC"/>
    <w:rsid w:val="00E2658D"/>
    <w:rsid w:val="00E445EA"/>
    <w:rsid w:val="00E460B0"/>
    <w:rsid w:val="00E518B6"/>
    <w:rsid w:val="00E61B7B"/>
    <w:rsid w:val="00E66889"/>
    <w:rsid w:val="00E9595D"/>
    <w:rsid w:val="00EA3C0A"/>
    <w:rsid w:val="00EA4B5E"/>
    <w:rsid w:val="00EA5C9F"/>
    <w:rsid w:val="00EA69EB"/>
    <w:rsid w:val="00EB7713"/>
    <w:rsid w:val="00EC45CD"/>
    <w:rsid w:val="00ED21B0"/>
    <w:rsid w:val="00EE25C4"/>
    <w:rsid w:val="00EE531B"/>
    <w:rsid w:val="00EE53D7"/>
    <w:rsid w:val="00EE5452"/>
    <w:rsid w:val="00F039E3"/>
    <w:rsid w:val="00F05031"/>
    <w:rsid w:val="00F07EEF"/>
    <w:rsid w:val="00F10B60"/>
    <w:rsid w:val="00F21FBE"/>
    <w:rsid w:val="00F36DCF"/>
    <w:rsid w:val="00F375ED"/>
    <w:rsid w:val="00F4038A"/>
    <w:rsid w:val="00F408B6"/>
    <w:rsid w:val="00F420B4"/>
    <w:rsid w:val="00F550C7"/>
    <w:rsid w:val="00F551AC"/>
    <w:rsid w:val="00F57643"/>
    <w:rsid w:val="00F602B2"/>
    <w:rsid w:val="00F63AA5"/>
    <w:rsid w:val="00F63CD3"/>
    <w:rsid w:val="00F63FB5"/>
    <w:rsid w:val="00F65915"/>
    <w:rsid w:val="00F70E62"/>
    <w:rsid w:val="00F73867"/>
    <w:rsid w:val="00F76F27"/>
    <w:rsid w:val="00F908C1"/>
    <w:rsid w:val="00F90F59"/>
    <w:rsid w:val="00F96727"/>
    <w:rsid w:val="00FA0DB3"/>
    <w:rsid w:val="00FA39BC"/>
    <w:rsid w:val="00FA3FF3"/>
    <w:rsid w:val="00FA755D"/>
    <w:rsid w:val="00FB4564"/>
    <w:rsid w:val="00FC3D12"/>
    <w:rsid w:val="00FD6D79"/>
    <w:rsid w:val="00FE0065"/>
    <w:rsid w:val="00FE2185"/>
    <w:rsid w:val="00FE4059"/>
    <w:rsid w:val="00FE62E6"/>
    <w:rsid w:val="00FF1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AB27"/>
  <w15:chartTrackingRefBased/>
  <w15:docId w15:val="{99FE1A97-D59A-40B4-8202-F8A51D1F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49F9"/>
    <w:rPr>
      <w:sz w:val="20"/>
      <w:szCs w:val="20"/>
    </w:rPr>
  </w:style>
  <w:style w:type="character" w:customStyle="1" w:styleId="FootnoteTextChar">
    <w:name w:val="Footnote Text Char"/>
    <w:basedOn w:val="DefaultParagraphFont"/>
    <w:link w:val="FootnoteText"/>
    <w:uiPriority w:val="99"/>
    <w:semiHidden/>
    <w:rsid w:val="009849F9"/>
    <w:rPr>
      <w:sz w:val="20"/>
      <w:szCs w:val="20"/>
    </w:rPr>
  </w:style>
  <w:style w:type="character" w:styleId="FootnoteReference">
    <w:name w:val="footnote reference"/>
    <w:basedOn w:val="DefaultParagraphFont"/>
    <w:uiPriority w:val="99"/>
    <w:semiHidden/>
    <w:unhideWhenUsed/>
    <w:rsid w:val="009849F9"/>
    <w:rPr>
      <w:vertAlign w:val="superscript"/>
    </w:rPr>
  </w:style>
  <w:style w:type="character" w:styleId="Hyperlink">
    <w:name w:val="Hyperlink"/>
    <w:basedOn w:val="DefaultParagraphFont"/>
    <w:uiPriority w:val="99"/>
    <w:unhideWhenUsed/>
    <w:rsid w:val="00B3271F"/>
    <w:rPr>
      <w:color w:val="0563C1" w:themeColor="hyperlink"/>
      <w:u w:val="single"/>
    </w:rPr>
  </w:style>
  <w:style w:type="character" w:styleId="UnresolvedMention">
    <w:name w:val="Unresolved Mention"/>
    <w:basedOn w:val="DefaultParagraphFont"/>
    <w:uiPriority w:val="99"/>
    <w:semiHidden/>
    <w:unhideWhenUsed/>
    <w:rsid w:val="00B3271F"/>
    <w:rPr>
      <w:color w:val="605E5C"/>
      <w:shd w:val="clear" w:color="auto" w:fill="E1DFDD"/>
    </w:rPr>
  </w:style>
  <w:style w:type="paragraph" w:styleId="Header">
    <w:name w:val="header"/>
    <w:basedOn w:val="Normal"/>
    <w:link w:val="HeaderChar"/>
    <w:uiPriority w:val="99"/>
    <w:unhideWhenUsed/>
    <w:rsid w:val="007A4B8B"/>
    <w:pPr>
      <w:tabs>
        <w:tab w:val="center" w:pos="4680"/>
        <w:tab w:val="right" w:pos="9360"/>
      </w:tabs>
    </w:pPr>
  </w:style>
  <w:style w:type="character" w:customStyle="1" w:styleId="HeaderChar">
    <w:name w:val="Header Char"/>
    <w:basedOn w:val="DefaultParagraphFont"/>
    <w:link w:val="Header"/>
    <w:uiPriority w:val="99"/>
    <w:rsid w:val="007A4B8B"/>
  </w:style>
  <w:style w:type="paragraph" w:styleId="Footer">
    <w:name w:val="footer"/>
    <w:basedOn w:val="Normal"/>
    <w:link w:val="FooterChar"/>
    <w:uiPriority w:val="99"/>
    <w:unhideWhenUsed/>
    <w:rsid w:val="007A4B8B"/>
    <w:pPr>
      <w:tabs>
        <w:tab w:val="center" w:pos="4680"/>
        <w:tab w:val="right" w:pos="9360"/>
      </w:tabs>
    </w:pPr>
  </w:style>
  <w:style w:type="character" w:customStyle="1" w:styleId="FooterChar">
    <w:name w:val="Footer Char"/>
    <w:basedOn w:val="DefaultParagraphFont"/>
    <w:link w:val="Footer"/>
    <w:uiPriority w:val="99"/>
    <w:rsid w:val="007A4B8B"/>
  </w:style>
  <w:style w:type="character" w:styleId="FollowedHyperlink">
    <w:name w:val="FollowedHyperlink"/>
    <w:basedOn w:val="DefaultParagraphFont"/>
    <w:uiPriority w:val="99"/>
    <w:semiHidden/>
    <w:unhideWhenUsed/>
    <w:rsid w:val="00EA5C9F"/>
    <w:rPr>
      <w:color w:val="954F72" w:themeColor="followedHyperlink"/>
      <w:u w:val="single"/>
    </w:rPr>
  </w:style>
  <w:style w:type="character" w:styleId="CommentReference">
    <w:name w:val="annotation reference"/>
    <w:basedOn w:val="DefaultParagraphFont"/>
    <w:uiPriority w:val="99"/>
    <w:semiHidden/>
    <w:unhideWhenUsed/>
    <w:rsid w:val="007458F9"/>
    <w:rPr>
      <w:sz w:val="16"/>
      <w:szCs w:val="16"/>
    </w:rPr>
  </w:style>
  <w:style w:type="paragraph" w:styleId="CommentText">
    <w:name w:val="annotation text"/>
    <w:basedOn w:val="Normal"/>
    <w:link w:val="CommentTextChar"/>
    <w:uiPriority w:val="99"/>
    <w:unhideWhenUsed/>
    <w:rsid w:val="007458F9"/>
    <w:rPr>
      <w:sz w:val="20"/>
      <w:szCs w:val="20"/>
    </w:rPr>
  </w:style>
  <w:style w:type="character" w:customStyle="1" w:styleId="CommentTextChar">
    <w:name w:val="Comment Text Char"/>
    <w:basedOn w:val="DefaultParagraphFont"/>
    <w:link w:val="CommentText"/>
    <w:uiPriority w:val="99"/>
    <w:rsid w:val="007458F9"/>
    <w:rPr>
      <w:sz w:val="20"/>
      <w:szCs w:val="20"/>
    </w:rPr>
  </w:style>
  <w:style w:type="paragraph" w:styleId="CommentSubject">
    <w:name w:val="annotation subject"/>
    <w:basedOn w:val="CommentText"/>
    <w:next w:val="CommentText"/>
    <w:link w:val="CommentSubjectChar"/>
    <w:uiPriority w:val="99"/>
    <w:semiHidden/>
    <w:unhideWhenUsed/>
    <w:rsid w:val="007458F9"/>
    <w:rPr>
      <w:b/>
      <w:bCs/>
    </w:rPr>
  </w:style>
  <w:style w:type="character" w:customStyle="1" w:styleId="CommentSubjectChar">
    <w:name w:val="Comment Subject Char"/>
    <w:basedOn w:val="CommentTextChar"/>
    <w:link w:val="CommentSubject"/>
    <w:uiPriority w:val="99"/>
    <w:semiHidden/>
    <w:rsid w:val="007458F9"/>
    <w:rPr>
      <w:b/>
      <w:bCs/>
      <w:sz w:val="20"/>
      <w:szCs w:val="20"/>
    </w:rPr>
  </w:style>
  <w:style w:type="paragraph" w:styleId="EndnoteText">
    <w:name w:val="endnote text"/>
    <w:basedOn w:val="Normal"/>
    <w:link w:val="EndnoteTextChar"/>
    <w:uiPriority w:val="99"/>
    <w:semiHidden/>
    <w:unhideWhenUsed/>
    <w:rsid w:val="00630C34"/>
    <w:rPr>
      <w:sz w:val="20"/>
      <w:szCs w:val="20"/>
    </w:rPr>
  </w:style>
  <w:style w:type="character" w:customStyle="1" w:styleId="EndnoteTextChar">
    <w:name w:val="Endnote Text Char"/>
    <w:basedOn w:val="DefaultParagraphFont"/>
    <w:link w:val="EndnoteText"/>
    <w:uiPriority w:val="99"/>
    <w:semiHidden/>
    <w:rsid w:val="00630C34"/>
    <w:rPr>
      <w:sz w:val="20"/>
      <w:szCs w:val="20"/>
    </w:rPr>
  </w:style>
  <w:style w:type="character" w:styleId="EndnoteReference">
    <w:name w:val="endnote reference"/>
    <w:basedOn w:val="DefaultParagraphFont"/>
    <w:uiPriority w:val="99"/>
    <w:semiHidden/>
    <w:unhideWhenUsed/>
    <w:rsid w:val="00630C34"/>
    <w:rPr>
      <w:vertAlign w:val="superscript"/>
    </w:rPr>
  </w:style>
  <w:style w:type="character" w:styleId="PageNumber">
    <w:name w:val="page number"/>
    <w:basedOn w:val="DefaultParagraphFont"/>
    <w:uiPriority w:val="99"/>
    <w:semiHidden/>
    <w:unhideWhenUsed/>
    <w:rsid w:val="00F36DCF"/>
  </w:style>
  <w:style w:type="paragraph" w:styleId="Revision">
    <w:name w:val="Revision"/>
    <w:hidden/>
    <w:uiPriority w:val="99"/>
    <w:semiHidden/>
    <w:rsid w:val="00307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78140">
      <w:bodyDiv w:val="1"/>
      <w:marLeft w:val="0"/>
      <w:marRight w:val="0"/>
      <w:marTop w:val="0"/>
      <w:marBottom w:val="0"/>
      <w:divBdr>
        <w:top w:val="none" w:sz="0" w:space="0" w:color="auto"/>
        <w:left w:val="none" w:sz="0" w:space="0" w:color="auto"/>
        <w:bottom w:val="none" w:sz="0" w:space="0" w:color="auto"/>
        <w:right w:val="none" w:sz="0" w:space="0" w:color="auto"/>
      </w:divBdr>
      <w:divsChild>
        <w:div w:id="611741935">
          <w:marLeft w:val="480"/>
          <w:marRight w:val="0"/>
          <w:marTop w:val="0"/>
          <w:marBottom w:val="0"/>
          <w:divBdr>
            <w:top w:val="none" w:sz="0" w:space="0" w:color="auto"/>
            <w:left w:val="none" w:sz="0" w:space="0" w:color="auto"/>
            <w:bottom w:val="none" w:sz="0" w:space="0" w:color="auto"/>
            <w:right w:val="none" w:sz="0" w:space="0" w:color="auto"/>
          </w:divBdr>
          <w:divsChild>
            <w:div w:id="1959600440">
              <w:marLeft w:val="0"/>
              <w:marRight w:val="0"/>
              <w:marTop w:val="0"/>
              <w:marBottom w:val="0"/>
              <w:divBdr>
                <w:top w:val="none" w:sz="0" w:space="0" w:color="auto"/>
                <w:left w:val="none" w:sz="0" w:space="0" w:color="auto"/>
                <w:bottom w:val="none" w:sz="0" w:space="0" w:color="auto"/>
                <w:right w:val="none" w:sz="0" w:space="0" w:color="auto"/>
              </w:divBdr>
            </w:div>
            <w:div w:id="57679141">
              <w:marLeft w:val="0"/>
              <w:marRight w:val="0"/>
              <w:marTop w:val="0"/>
              <w:marBottom w:val="0"/>
              <w:divBdr>
                <w:top w:val="none" w:sz="0" w:space="0" w:color="auto"/>
                <w:left w:val="none" w:sz="0" w:space="0" w:color="auto"/>
                <w:bottom w:val="none" w:sz="0" w:space="0" w:color="auto"/>
                <w:right w:val="none" w:sz="0" w:space="0" w:color="auto"/>
              </w:divBdr>
            </w:div>
            <w:div w:id="858154826">
              <w:marLeft w:val="0"/>
              <w:marRight w:val="0"/>
              <w:marTop w:val="0"/>
              <w:marBottom w:val="0"/>
              <w:divBdr>
                <w:top w:val="none" w:sz="0" w:space="0" w:color="auto"/>
                <w:left w:val="none" w:sz="0" w:space="0" w:color="auto"/>
                <w:bottom w:val="none" w:sz="0" w:space="0" w:color="auto"/>
                <w:right w:val="none" w:sz="0" w:space="0" w:color="auto"/>
              </w:divBdr>
            </w:div>
            <w:div w:id="457719102">
              <w:marLeft w:val="0"/>
              <w:marRight w:val="0"/>
              <w:marTop w:val="0"/>
              <w:marBottom w:val="0"/>
              <w:divBdr>
                <w:top w:val="none" w:sz="0" w:space="0" w:color="auto"/>
                <w:left w:val="none" w:sz="0" w:space="0" w:color="auto"/>
                <w:bottom w:val="none" w:sz="0" w:space="0" w:color="auto"/>
                <w:right w:val="none" w:sz="0" w:space="0" w:color="auto"/>
              </w:divBdr>
            </w:div>
            <w:div w:id="117340671">
              <w:marLeft w:val="0"/>
              <w:marRight w:val="0"/>
              <w:marTop w:val="0"/>
              <w:marBottom w:val="0"/>
              <w:divBdr>
                <w:top w:val="none" w:sz="0" w:space="0" w:color="auto"/>
                <w:left w:val="none" w:sz="0" w:space="0" w:color="auto"/>
                <w:bottom w:val="none" w:sz="0" w:space="0" w:color="auto"/>
                <w:right w:val="none" w:sz="0" w:space="0" w:color="auto"/>
              </w:divBdr>
            </w:div>
            <w:div w:id="1539704934">
              <w:marLeft w:val="0"/>
              <w:marRight w:val="0"/>
              <w:marTop w:val="0"/>
              <w:marBottom w:val="0"/>
              <w:divBdr>
                <w:top w:val="none" w:sz="0" w:space="0" w:color="auto"/>
                <w:left w:val="none" w:sz="0" w:space="0" w:color="auto"/>
                <w:bottom w:val="none" w:sz="0" w:space="0" w:color="auto"/>
                <w:right w:val="none" w:sz="0" w:space="0" w:color="auto"/>
              </w:divBdr>
            </w:div>
            <w:div w:id="904949159">
              <w:marLeft w:val="0"/>
              <w:marRight w:val="0"/>
              <w:marTop w:val="0"/>
              <w:marBottom w:val="0"/>
              <w:divBdr>
                <w:top w:val="none" w:sz="0" w:space="0" w:color="auto"/>
                <w:left w:val="none" w:sz="0" w:space="0" w:color="auto"/>
                <w:bottom w:val="none" w:sz="0" w:space="0" w:color="auto"/>
                <w:right w:val="none" w:sz="0" w:space="0" w:color="auto"/>
              </w:divBdr>
            </w:div>
            <w:div w:id="1353796600">
              <w:marLeft w:val="0"/>
              <w:marRight w:val="0"/>
              <w:marTop w:val="0"/>
              <w:marBottom w:val="0"/>
              <w:divBdr>
                <w:top w:val="none" w:sz="0" w:space="0" w:color="auto"/>
                <w:left w:val="none" w:sz="0" w:space="0" w:color="auto"/>
                <w:bottom w:val="none" w:sz="0" w:space="0" w:color="auto"/>
                <w:right w:val="none" w:sz="0" w:space="0" w:color="auto"/>
              </w:divBdr>
            </w:div>
            <w:div w:id="434176705">
              <w:marLeft w:val="0"/>
              <w:marRight w:val="0"/>
              <w:marTop w:val="0"/>
              <w:marBottom w:val="0"/>
              <w:divBdr>
                <w:top w:val="none" w:sz="0" w:space="0" w:color="auto"/>
                <w:left w:val="none" w:sz="0" w:space="0" w:color="auto"/>
                <w:bottom w:val="none" w:sz="0" w:space="0" w:color="auto"/>
                <w:right w:val="none" w:sz="0" w:space="0" w:color="auto"/>
              </w:divBdr>
            </w:div>
            <w:div w:id="827357557">
              <w:marLeft w:val="0"/>
              <w:marRight w:val="0"/>
              <w:marTop w:val="0"/>
              <w:marBottom w:val="0"/>
              <w:divBdr>
                <w:top w:val="none" w:sz="0" w:space="0" w:color="auto"/>
                <w:left w:val="none" w:sz="0" w:space="0" w:color="auto"/>
                <w:bottom w:val="none" w:sz="0" w:space="0" w:color="auto"/>
                <w:right w:val="none" w:sz="0" w:space="0" w:color="auto"/>
              </w:divBdr>
            </w:div>
            <w:div w:id="515926751">
              <w:marLeft w:val="0"/>
              <w:marRight w:val="0"/>
              <w:marTop w:val="0"/>
              <w:marBottom w:val="0"/>
              <w:divBdr>
                <w:top w:val="none" w:sz="0" w:space="0" w:color="auto"/>
                <w:left w:val="none" w:sz="0" w:space="0" w:color="auto"/>
                <w:bottom w:val="none" w:sz="0" w:space="0" w:color="auto"/>
                <w:right w:val="none" w:sz="0" w:space="0" w:color="auto"/>
              </w:divBdr>
            </w:div>
            <w:div w:id="335884656">
              <w:marLeft w:val="0"/>
              <w:marRight w:val="0"/>
              <w:marTop w:val="0"/>
              <w:marBottom w:val="0"/>
              <w:divBdr>
                <w:top w:val="none" w:sz="0" w:space="0" w:color="auto"/>
                <w:left w:val="none" w:sz="0" w:space="0" w:color="auto"/>
                <w:bottom w:val="none" w:sz="0" w:space="0" w:color="auto"/>
                <w:right w:val="none" w:sz="0" w:space="0" w:color="auto"/>
              </w:divBdr>
            </w:div>
            <w:div w:id="1062673839">
              <w:marLeft w:val="0"/>
              <w:marRight w:val="0"/>
              <w:marTop w:val="0"/>
              <w:marBottom w:val="0"/>
              <w:divBdr>
                <w:top w:val="none" w:sz="0" w:space="0" w:color="auto"/>
                <w:left w:val="none" w:sz="0" w:space="0" w:color="auto"/>
                <w:bottom w:val="none" w:sz="0" w:space="0" w:color="auto"/>
                <w:right w:val="none" w:sz="0" w:space="0" w:color="auto"/>
              </w:divBdr>
            </w:div>
            <w:div w:id="1233738936">
              <w:marLeft w:val="0"/>
              <w:marRight w:val="0"/>
              <w:marTop w:val="0"/>
              <w:marBottom w:val="0"/>
              <w:divBdr>
                <w:top w:val="none" w:sz="0" w:space="0" w:color="auto"/>
                <w:left w:val="none" w:sz="0" w:space="0" w:color="auto"/>
                <w:bottom w:val="none" w:sz="0" w:space="0" w:color="auto"/>
                <w:right w:val="none" w:sz="0" w:space="0" w:color="auto"/>
              </w:divBdr>
            </w:div>
            <w:div w:id="692999782">
              <w:marLeft w:val="0"/>
              <w:marRight w:val="0"/>
              <w:marTop w:val="0"/>
              <w:marBottom w:val="0"/>
              <w:divBdr>
                <w:top w:val="none" w:sz="0" w:space="0" w:color="auto"/>
                <w:left w:val="none" w:sz="0" w:space="0" w:color="auto"/>
                <w:bottom w:val="none" w:sz="0" w:space="0" w:color="auto"/>
                <w:right w:val="none" w:sz="0" w:space="0" w:color="auto"/>
              </w:divBdr>
            </w:div>
            <w:div w:id="556824882">
              <w:marLeft w:val="0"/>
              <w:marRight w:val="0"/>
              <w:marTop w:val="0"/>
              <w:marBottom w:val="0"/>
              <w:divBdr>
                <w:top w:val="none" w:sz="0" w:space="0" w:color="auto"/>
                <w:left w:val="none" w:sz="0" w:space="0" w:color="auto"/>
                <w:bottom w:val="none" w:sz="0" w:space="0" w:color="auto"/>
                <w:right w:val="none" w:sz="0" w:space="0" w:color="auto"/>
              </w:divBdr>
            </w:div>
            <w:div w:id="206600352">
              <w:marLeft w:val="0"/>
              <w:marRight w:val="0"/>
              <w:marTop w:val="0"/>
              <w:marBottom w:val="0"/>
              <w:divBdr>
                <w:top w:val="none" w:sz="0" w:space="0" w:color="auto"/>
                <w:left w:val="none" w:sz="0" w:space="0" w:color="auto"/>
                <w:bottom w:val="none" w:sz="0" w:space="0" w:color="auto"/>
                <w:right w:val="none" w:sz="0" w:space="0" w:color="auto"/>
              </w:divBdr>
            </w:div>
            <w:div w:id="1140919025">
              <w:marLeft w:val="0"/>
              <w:marRight w:val="0"/>
              <w:marTop w:val="0"/>
              <w:marBottom w:val="0"/>
              <w:divBdr>
                <w:top w:val="none" w:sz="0" w:space="0" w:color="auto"/>
                <w:left w:val="none" w:sz="0" w:space="0" w:color="auto"/>
                <w:bottom w:val="none" w:sz="0" w:space="0" w:color="auto"/>
                <w:right w:val="none" w:sz="0" w:space="0" w:color="auto"/>
              </w:divBdr>
            </w:div>
            <w:div w:id="1554273920">
              <w:marLeft w:val="0"/>
              <w:marRight w:val="0"/>
              <w:marTop w:val="0"/>
              <w:marBottom w:val="0"/>
              <w:divBdr>
                <w:top w:val="none" w:sz="0" w:space="0" w:color="auto"/>
                <w:left w:val="none" w:sz="0" w:space="0" w:color="auto"/>
                <w:bottom w:val="none" w:sz="0" w:space="0" w:color="auto"/>
                <w:right w:val="none" w:sz="0" w:space="0" w:color="auto"/>
              </w:divBdr>
            </w:div>
            <w:div w:id="496463063">
              <w:marLeft w:val="0"/>
              <w:marRight w:val="0"/>
              <w:marTop w:val="0"/>
              <w:marBottom w:val="0"/>
              <w:divBdr>
                <w:top w:val="none" w:sz="0" w:space="0" w:color="auto"/>
                <w:left w:val="none" w:sz="0" w:space="0" w:color="auto"/>
                <w:bottom w:val="none" w:sz="0" w:space="0" w:color="auto"/>
                <w:right w:val="none" w:sz="0" w:space="0" w:color="auto"/>
              </w:divBdr>
            </w:div>
            <w:div w:id="335116961">
              <w:marLeft w:val="0"/>
              <w:marRight w:val="0"/>
              <w:marTop w:val="0"/>
              <w:marBottom w:val="0"/>
              <w:divBdr>
                <w:top w:val="none" w:sz="0" w:space="0" w:color="auto"/>
                <w:left w:val="none" w:sz="0" w:space="0" w:color="auto"/>
                <w:bottom w:val="none" w:sz="0" w:space="0" w:color="auto"/>
                <w:right w:val="none" w:sz="0" w:space="0" w:color="auto"/>
              </w:divBdr>
            </w:div>
            <w:div w:id="729841228">
              <w:marLeft w:val="0"/>
              <w:marRight w:val="0"/>
              <w:marTop w:val="0"/>
              <w:marBottom w:val="0"/>
              <w:divBdr>
                <w:top w:val="none" w:sz="0" w:space="0" w:color="auto"/>
                <w:left w:val="none" w:sz="0" w:space="0" w:color="auto"/>
                <w:bottom w:val="none" w:sz="0" w:space="0" w:color="auto"/>
                <w:right w:val="none" w:sz="0" w:space="0" w:color="auto"/>
              </w:divBdr>
            </w:div>
            <w:div w:id="1715614419">
              <w:marLeft w:val="0"/>
              <w:marRight w:val="0"/>
              <w:marTop w:val="0"/>
              <w:marBottom w:val="0"/>
              <w:divBdr>
                <w:top w:val="none" w:sz="0" w:space="0" w:color="auto"/>
                <w:left w:val="none" w:sz="0" w:space="0" w:color="auto"/>
                <w:bottom w:val="none" w:sz="0" w:space="0" w:color="auto"/>
                <w:right w:val="none" w:sz="0" w:space="0" w:color="auto"/>
              </w:divBdr>
            </w:div>
            <w:div w:id="1513258358">
              <w:marLeft w:val="0"/>
              <w:marRight w:val="0"/>
              <w:marTop w:val="0"/>
              <w:marBottom w:val="0"/>
              <w:divBdr>
                <w:top w:val="none" w:sz="0" w:space="0" w:color="auto"/>
                <w:left w:val="none" w:sz="0" w:space="0" w:color="auto"/>
                <w:bottom w:val="none" w:sz="0" w:space="0" w:color="auto"/>
                <w:right w:val="none" w:sz="0" w:space="0" w:color="auto"/>
              </w:divBdr>
            </w:div>
            <w:div w:id="886334136">
              <w:marLeft w:val="0"/>
              <w:marRight w:val="0"/>
              <w:marTop w:val="0"/>
              <w:marBottom w:val="0"/>
              <w:divBdr>
                <w:top w:val="none" w:sz="0" w:space="0" w:color="auto"/>
                <w:left w:val="none" w:sz="0" w:space="0" w:color="auto"/>
                <w:bottom w:val="none" w:sz="0" w:space="0" w:color="auto"/>
                <w:right w:val="none" w:sz="0" w:space="0" w:color="auto"/>
              </w:divBdr>
            </w:div>
            <w:div w:id="1590385338">
              <w:marLeft w:val="0"/>
              <w:marRight w:val="0"/>
              <w:marTop w:val="0"/>
              <w:marBottom w:val="0"/>
              <w:divBdr>
                <w:top w:val="none" w:sz="0" w:space="0" w:color="auto"/>
                <w:left w:val="none" w:sz="0" w:space="0" w:color="auto"/>
                <w:bottom w:val="none" w:sz="0" w:space="0" w:color="auto"/>
                <w:right w:val="none" w:sz="0" w:space="0" w:color="auto"/>
              </w:divBdr>
            </w:div>
            <w:div w:id="675810328">
              <w:marLeft w:val="0"/>
              <w:marRight w:val="0"/>
              <w:marTop w:val="0"/>
              <w:marBottom w:val="0"/>
              <w:divBdr>
                <w:top w:val="none" w:sz="0" w:space="0" w:color="auto"/>
                <w:left w:val="none" w:sz="0" w:space="0" w:color="auto"/>
                <w:bottom w:val="none" w:sz="0" w:space="0" w:color="auto"/>
                <w:right w:val="none" w:sz="0" w:space="0" w:color="auto"/>
              </w:divBdr>
            </w:div>
            <w:div w:id="58021438">
              <w:marLeft w:val="0"/>
              <w:marRight w:val="0"/>
              <w:marTop w:val="0"/>
              <w:marBottom w:val="0"/>
              <w:divBdr>
                <w:top w:val="none" w:sz="0" w:space="0" w:color="auto"/>
                <w:left w:val="none" w:sz="0" w:space="0" w:color="auto"/>
                <w:bottom w:val="none" w:sz="0" w:space="0" w:color="auto"/>
                <w:right w:val="none" w:sz="0" w:space="0" w:color="auto"/>
              </w:divBdr>
            </w:div>
            <w:div w:id="8087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6125">
      <w:bodyDiv w:val="1"/>
      <w:marLeft w:val="0"/>
      <w:marRight w:val="0"/>
      <w:marTop w:val="0"/>
      <w:marBottom w:val="0"/>
      <w:divBdr>
        <w:top w:val="none" w:sz="0" w:space="0" w:color="auto"/>
        <w:left w:val="none" w:sz="0" w:space="0" w:color="auto"/>
        <w:bottom w:val="none" w:sz="0" w:space="0" w:color="auto"/>
        <w:right w:val="none" w:sz="0" w:space="0" w:color="auto"/>
      </w:divBdr>
      <w:divsChild>
        <w:div w:id="321003908">
          <w:marLeft w:val="480"/>
          <w:marRight w:val="0"/>
          <w:marTop w:val="0"/>
          <w:marBottom w:val="0"/>
          <w:divBdr>
            <w:top w:val="none" w:sz="0" w:space="0" w:color="auto"/>
            <w:left w:val="none" w:sz="0" w:space="0" w:color="auto"/>
            <w:bottom w:val="none" w:sz="0" w:space="0" w:color="auto"/>
            <w:right w:val="none" w:sz="0" w:space="0" w:color="auto"/>
          </w:divBdr>
          <w:divsChild>
            <w:div w:id="2121752781">
              <w:marLeft w:val="0"/>
              <w:marRight w:val="0"/>
              <w:marTop w:val="0"/>
              <w:marBottom w:val="0"/>
              <w:divBdr>
                <w:top w:val="none" w:sz="0" w:space="0" w:color="auto"/>
                <w:left w:val="none" w:sz="0" w:space="0" w:color="auto"/>
                <w:bottom w:val="none" w:sz="0" w:space="0" w:color="auto"/>
                <w:right w:val="none" w:sz="0" w:space="0" w:color="auto"/>
              </w:divBdr>
            </w:div>
            <w:div w:id="953252682">
              <w:marLeft w:val="0"/>
              <w:marRight w:val="0"/>
              <w:marTop w:val="0"/>
              <w:marBottom w:val="0"/>
              <w:divBdr>
                <w:top w:val="none" w:sz="0" w:space="0" w:color="auto"/>
                <w:left w:val="none" w:sz="0" w:space="0" w:color="auto"/>
                <w:bottom w:val="none" w:sz="0" w:space="0" w:color="auto"/>
                <w:right w:val="none" w:sz="0" w:space="0" w:color="auto"/>
              </w:divBdr>
            </w:div>
            <w:div w:id="1913002602">
              <w:marLeft w:val="0"/>
              <w:marRight w:val="0"/>
              <w:marTop w:val="0"/>
              <w:marBottom w:val="0"/>
              <w:divBdr>
                <w:top w:val="none" w:sz="0" w:space="0" w:color="auto"/>
                <w:left w:val="none" w:sz="0" w:space="0" w:color="auto"/>
                <w:bottom w:val="none" w:sz="0" w:space="0" w:color="auto"/>
                <w:right w:val="none" w:sz="0" w:space="0" w:color="auto"/>
              </w:divBdr>
            </w:div>
            <w:div w:id="1878545278">
              <w:marLeft w:val="0"/>
              <w:marRight w:val="0"/>
              <w:marTop w:val="0"/>
              <w:marBottom w:val="0"/>
              <w:divBdr>
                <w:top w:val="none" w:sz="0" w:space="0" w:color="auto"/>
                <w:left w:val="none" w:sz="0" w:space="0" w:color="auto"/>
                <w:bottom w:val="none" w:sz="0" w:space="0" w:color="auto"/>
                <w:right w:val="none" w:sz="0" w:space="0" w:color="auto"/>
              </w:divBdr>
            </w:div>
            <w:div w:id="899098803">
              <w:marLeft w:val="0"/>
              <w:marRight w:val="0"/>
              <w:marTop w:val="0"/>
              <w:marBottom w:val="0"/>
              <w:divBdr>
                <w:top w:val="none" w:sz="0" w:space="0" w:color="auto"/>
                <w:left w:val="none" w:sz="0" w:space="0" w:color="auto"/>
                <w:bottom w:val="none" w:sz="0" w:space="0" w:color="auto"/>
                <w:right w:val="none" w:sz="0" w:space="0" w:color="auto"/>
              </w:divBdr>
            </w:div>
            <w:div w:id="36853117">
              <w:marLeft w:val="0"/>
              <w:marRight w:val="0"/>
              <w:marTop w:val="0"/>
              <w:marBottom w:val="0"/>
              <w:divBdr>
                <w:top w:val="none" w:sz="0" w:space="0" w:color="auto"/>
                <w:left w:val="none" w:sz="0" w:space="0" w:color="auto"/>
                <w:bottom w:val="none" w:sz="0" w:space="0" w:color="auto"/>
                <w:right w:val="none" w:sz="0" w:space="0" w:color="auto"/>
              </w:divBdr>
            </w:div>
            <w:div w:id="752312294">
              <w:marLeft w:val="0"/>
              <w:marRight w:val="0"/>
              <w:marTop w:val="0"/>
              <w:marBottom w:val="0"/>
              <w:divBdr>
                <w:top w:val="none" w:sz="0" w:space="0" w:color="auto"/>
                <w:left w:val="none" w:sz="0" w:space="0" w:color="auto"/>
                <w:bottom w:val="none" w:sz="0" w:space="0" w:color="auto"/>
                <w:right w:val="none" w:sz="0" w:space="0" w:color="auto"/>
              </w:divBdr>
            </w:div>
            <w:div w:id="317922659">
              <w:marLeft w:val="0"/>
              <w:marRight w:val="0"/>
              <w:marTop w:val="0"/>
              <w:marBottom w:val="0"/>
              <w:divBdr>
                <w:top w:val="none" w:sz="0" w:space="0" w:color="auto"/>
                <w:left w:val="none" w:sz="0" w:space="0" w:color="auto"/>
                <w:bottom w:val="none" w:sz="0" w:space="0" w:color="auto"/>
                <w:right w:val="none" w:sz="0" w:space="0" w:color="auto"/>
              </w:divBdr>
            </w:div>
            <w:div w:id="1745955633">
              <w:marLeft w:val="0"/>
              <w:marRight w:val="0"/>
              <w:marTop w:val="0"/>
              <w:marBottom w:val="0"/>
              <w:divBdr>
                <w:top w:val="none" w:sz="0" w:space="0" w:color="auto"/>
                <w:left w:val="none" w:sz="0" w:space="0" w:color="auto"/>
                <w:bottom w:val="none" w:sz="0" w:space="0" w:color="auto"/>
                <w:right w:val="none" w:sz="0" w:space="0" w:color="auto"/>
              </w:divBdr>
            </w:div>
            <w:div w:id="2117749591">
              <w:marLeft w:val="0"/>
              <w:marRight w:val="0"/>
              <w:marTop w:val="0"/>
              <w:marBottom w:val="0"/>
              <w:divBdr>
                <w:top w:val="none" w:sz="0" w:space="0" w:color="auto"/>
                <w:left w:val="none" w:sz="0" w:space="0" w:color="auto"/>
                <w:bottom w:val="none" w:sz="0" w:space="0" w:color="auto"/>
                <w:right w:val="none" w:sz="0" w:space="0" w:color="auto"/>
              </w:divBdr>
            </w:div>
            <w:div w:id="1552227796">
              <w:marLeft w:val="0"/>
              <w:marRight w:val="0"/>
              <w:marTop w:val="0"/>
              <w:marBottom w:val="0"/>
              <w:divBdr>
                <w:top w:val="none" w:sz="0" w:space="0" w:color="auto"/>
                <w:left w:val="none" w:sz="0" w:space="0" w:color="auto"/>
                <w:bottom w:val="none" w:sz="0" w:space="0" w:color="auto"/>
                <w:right w:val="none" w:sz="0" w:space="0" w:color="auto"/>
              </w:divBdr>
            </w:div>
            <w:div w:id="1882354120">
              <w:marLeft w:val="0"/>
              <w:marRight w:val="0"/>
              <w:marTop w:val="0"/>
              <w:marBottom w:val="0"/>
              <w:divBdr>
                <w:top w:val="none" w:sz="0" w:space="0" w:color="auto"/>
                <w:left w:val="none" w:sz="0" w:space="0" w:color="auto"/>
                <w:bottom w:val="none" w:sz="0" w:space="0" w:color="auto"/>
                <w:right w:val="none" w:sz="0" w:space="0" w:color="auto"/>
              </w:divBdr>
            </w:div>
            <w:div w:id="932468454">
              <w:marLeft w:val="0"/>
              <w:marRight w:val="0"/>
              <w:marTop w:val="0"/>
              <w:marBottom w:val="0"/>
              <w:divBdr>
                <w:top w:val="none" w:sz="0" w:space="0" w:color="auto"/>
                <w:left w:val="none" w:sz="0" w:space="0" w:color="auto"/>
                <w:bottom w:val="none" w:sz="0" w:space="0" w:color="auto"/>
                <w:right w:val="none" w:sz="0" w:space="0" w:color="auto"/>
              </w:divBdr>
            </w:div>
            <w:div w:id="1707559768">
              <w:marLeft w:val="0"/>
              <w:marRight w:val="0"/>
              <w:marTop w:val="0"/>
              <w:marBottom w:val="0"/>
              <w:divBdr>
                <w:top w:val="none" w:sz="0" w:space="0" w:color="auto"/>
                <w:left w:val="none" w:sz="0" w:space="0" w:color="auto"/>
                <w:bottom w:val="none" w:sz="0" w:space="0" w:color="auto"/>
                <w:right w:val="none" w:sz="0" w:space="0" w:color="auto"/>
              </w:divBdr>
            </w:div>
            <w:div w:id="373190881">
              <w:marLeft w:val="0"/>
              <w:marRight w:val="0"/>
              <w:marTop w:val="0"/>
              <w:marBottom w:val="0"/>
              <w:divBdr>
                <w:top w:val="none" w:sz="0" w:space="0" w:color="auto"/>
                <w:left w:val="none" w:sz="0" w:space="0" w:color="auto"/>
                <w:bottom w:val="none" w:sz="0" w:space="0" w:color="auto"/>
                <w:right w:val="none" w:sz="0" w:space="0" w:color="auto"/>
              </w:divBdr>
            </w:div>
            <w:div w:id="529344680">
              <w:marLeft w:val="0"/>
              <w:marRight w:val="0"/>
              <w:marTop w:val="0"/>
              <w:marBottom w:val="0"/>
              <w:divBdr>
                <w:top w:val="none" w:sz="0" w:space="0" w:color="auto"/>
                <w:left w:val="none" w:sz="0" w:space="0" w:color="auto"/>
                <w:bottom w:val="none" w:sz="0" w:space="0" w:color="auto"/>
                <w:right w:val="none" w:sz="0" w:space="0" w:color="auto"/>
              </w:divBdr>
            </w:div>
            <w:div w:id="940138371">
              <w:marLeft w:val="0"/>
              <w:marRight w:val="0"/>
              <w:marTop w:val="0"/>
              <w:marBottom w:val="0"/>
              <w:divBdr>
                <w:top w:val="none" w:sz="0" w:space="0" w:color="auto"/>
                <w:left w:val="none" w:sz="0" w:space="0" w:color="auto"/>
                <w:bottom w:val="none" w:sz="0" w:space="0" w:color="auto"/>
                <w:right w:val="none" w:sz="0" w:space="0" w:color="auto"/>
              </w:divBdr>
            </w:div>
            <w:div w:id="1454790933">
              <w:marLeft w:val="0"/>
              <w:marRight w:val="0"/>
              <w:marTop w:val="0"/>
              <w:marBottom w:val="0"/>
              <w:divBdr>
                <w:top w:val="none" w:sz="0" w:space="0" w:color="auto"/>
                <w:left w:val="none" w:sz="0" w:space="0" w:color="auto"/>
                <w:bottom w:val="none" w:sz="0" w:space="0" w:color="auto"/>
                <w:right w:val="none" w:sz="0" w:space="0" w:color="auto"/>
              </w:divBdr>
            </w:div>
            <w:div w:id="784537699">
              <w:marLeft w:val="0"/>
              <w:marRight w:val="0"/>
              <w:marTop w:val="0"/>
              <w:marBottom w:val="0"/>
              <w:divBdr>
                <w:top w:val="none" w:sz="0" w:space="0" w:color="auto"/>
                <w:left w:val="none" w:sz="0" w:space="0" w:color="auto"/>
                <w:bottom w:val="none" w:sz="0" w:space="0" w:color="auto"/>
                <w:right w:val="none" w:sz="0" w:space="0" w:color="auto"/>
              </w:divBdr>
            </w:div>
            <w:div w:id="346907461">
              <w:marLeft w:val="0"/>
              <w:marRight w:val="0"/>
              <w:marTop w:val="0"/>
              <w:marBottom w:val="0"/>
              <w:divBdr>
                <w:top w:val="none" w:sz="0" w:space="0" w:color="auto"/>
                <w:left w:val="none" w:sz="0" w:space="0" w:color="auto"/>
                <w:bottom w:val="none" w:sz="0" w:space="0" w:color="auto"/>
                <w:right w:val="none" w:sz="0" w:space="0" w:color="auto"/>
              </w:divBdr>
            </w:div>
            <w:div w:id="62684280">
              <w:marLeft w:val="0"/>
              <w:marRight w:val="0"/>
              <w:marTop w:val="0"/>
              <w:marBottom w:val="0"/>
              <w:divBdr>
                <w:top w:val="none" w:sz="0" w:space="0" w:color="auto"/>
                <w:left w:val="none" w:sz="0" w:space="0" w:color="auto"/>
                <w:bottom w:val="none" w:sz="0" w:space="0" w:color="auto"/>
                <w:right w:val="none" w:sz="0" w:space="0" w:color="auto"/>
              </w:divBdr>
            </w:div>
            <w:div w:id="1192953811">
              <w:marLeft w:val="0"/>
              <w:marRight w:val="0"/>
              <w:marTop w:val="0"/>
              <w:marBottom w:val="0"/>
              <w:divBdr>
                <w:top w:val="none" w:sz="0" w:space="0" w:color="auto"/>
                <w:left w:val="none" w:sz="0" w:space="0" w:color="auto"/>
                <w:bottom w:val="none" w:sz="0" w:space="0" w:color="auto"/>
                <w:right w:val="none" w:sz="0" w:space="0" w:color="auto"/>
              </w:divBdr>
            </w:div>
            <w:div w:id="869101978">
              <w:marLeft w:val="0"/>
              <w:marRight w:val="0"/>
              <w:marTop w:val="0"/>
              <w:marBottom w:val="0"/>
              <w:divBdr>
                <w:top w:val="none" w:sz="0" w:space="0" w:color="auto"/>
                <w:left w:val="none" w:sz="0" w:space="0" w:color="auto"/>
                <w:bottom w:val="none" w:sz="0" w:space="0" w:color="auto"/>
                <w:right w:val="none" w:sz="0" w:space="0" w:color="auto"/>
              </w:divBdr>
            </w:div>
            <w:div w:id="1058892643">
              <w:marLeft w:val="0"/>
              <w:marRight w:val="0"/>
              <w:marTop w:val="0"/>
              <w:marBottom w:val="0"/>
              <w:divBdr>
                <w:top w:val="none" w:sz="0" w:space="0" w:color="auto"/>
                <w:left w:val="none" w:sz="0" w:space="0" w:color="auto"/>
                <w:bottom w:val="none" w:sz="0" w:space="0" w:color="auto"/>
                <w:right w:val="none" w:sz="0" w:space="0" w:color="auto"/>
              </w:divBdr>
            </w:div>
            <w:div w:id="1476068923">
              <w:marLeft w:val="0"/>
              <w:marRight w:val="0"/>
              <w:marTop w:val="0"/>
              <w:marBottom w:val="0"/>
              <w:divBdr>
                <w:top w:val="none" w:sz="0" w:space="0" w:color="auto"/>
                <w:left w:val="none" w:sz="0" w:space="0" w:color="auto"/>
                <w:bottom w:val="none" w:sz="0" w:space="0" w:color="auto"/>
                <w:right w:val="none" w:sz="0" w:space="0" w:color="auto"/>
              </w:divBdr>
            </w:div>
            <w:div w:id="313072042">
              <w:marLeft w:val="0"/>
              <w:marRight w:val="0"/>
              <w:marTop w:val="0"/>
              <w:marBottom w:val="0"/>
              <w:divBdr>
                <w:top w:val="none" w:sz="0" w:space="0" w:color="auto"/>
                <w:left w:val="none" w:sz="0" w:space="0" w:color="auto"/>
                <w:bottom w:val="none" w:sz="0" w:space="0" w:color="auto"/>
                <w:right w:val="none" w:sz="0" w:space="0" w:color="auto"/>
              </w:divBdr>
            </w:div>
            <w:div w:id="405883188">
              <w:marLeft w:val="0"/>
              <w:marRight w:val="0"/>
              <w:marTop w:val="0"/>
              <w:marBottom w:val="0"/>
              <w:divBdr>
                <w:top w:val="none" w:sz="0" w:space="0" w:color="auto"/>
                <w:left w:val="none" w:sz="0" w:space="0" w:color="auto"/>
                <w:bottom w:val="none" w:sz="0" w:space="0" w:color="auto"/>
                <w:right w:val="none" w:sz="0" w:space="0" w:color="auto"/>
              </w:divBdr>
            </w:div>
            <w:div w:id="2026587491">
              <w:marLeft w:val="0"/>
              <w:marRight w:val="0"/>
              <w:marTop w:val="0"/>
              <w:marBottom w:val="0"/>
              <w:divBdr>
                <w:top w:val="none" w:sz="0" w:space="0" w:color="auto"/>
                <w:left w:val="none" w:sz="0" w:space="0" w:color="auto"/>
                <w:bottom w:val="none" w:sz="0" w:space="0" w:color="auto"/>
                <w:right w:val="none" w:sz="0" w:space="0" w:color="auto"/>
              </w:divBdr>
            </w:div>
            <w:div w:id="1124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9562">
      <w:bodyDiv w:val="1"/>
      <w:marLeft w:val="0"/>
      <w:marRight w:val="0"/>
      <w:marTop w:val="0"/>
      <w:marBottom w:val="0"/>
      <w:divBdr>
        <w:top w:val="none" w:sz="0" w:space="0" w:color="auto"/>
        <w:left w:val="none" w:sz="0" w:space="0" w:color="auto"/>
        <w:bottom w:val="none" w:sz="0" w:space="0" w:color="auto"/>
        <w:right w:val="none" w:sz="0" w:space="0" w:color="auto"/>
      </w:divBdr>
      <w:divsChild>
        <w:div w:id="834807553">
          <w:marLeft w:val="480"/>
          <w:marRight w:val="0"/>
          <w:marTop w:val="0"/>
          <w:marBottom w:val="0"/>
          <w:divBdr>
            <w:top w:val="none" w:sz="0" w:space="0" w:color="auto"/>
            <w:left w:val="none" w:sz="0" w:space="0" w:color="auto"/>
            <w:bottom w:val="none" w:sz="0" w:space="0" w:color="auto"/>
            <w:right w:val="none" w:sz="0" w:space="0" w:color="auto"/>
          </w:divBdr>
          <w:divsChild>
            <w:div w:id="2060396421">
              <w:marLeft w:val="0"/>
              <w:marRight w:val="0"/>
              <w:marTop w:val="0"/>
              <w:marBottom w:val="0"/>
              <w:divBdr>
                <w:top w:val="none" w:sz="0" w:space="0" w:color="auto"/>
                <w:left w:val="none" w:sz="0" w:space="0" w:color="auto"/>
                <w:bottom w:val="none" w:sz="0" w:space="0" w:color="auto"/>
                <w:right w:val="none" w:sz="0" w:space="0" w:color="auto"/>
              </w:divBdr>
            </w:div>
            <w:div w:id="701177415">
              <w:marLeft w:val="0"/>
              <w:marRight w:val="0"/>
              <w:marTop w:val="0"/>
              <w:marBottom w:val="0"/>
              <w:divBdr>
                <w:top w:val="none" w:sz="0" w:space="0" w:color="auto"/>
                <w:left w:val="none" w:sz="0" w:space="0" w:color="auto"/>
                <w:bottom w:val="none" w:sz="0" w:space="0" w:color="auto"/>
                <w:right w:val="none" w:sz="0" w:space="0" w:color="auto"/>
              </w:divBdr>
            </w:div>
            <w:div w:id="689600771">
              <w:marLeft w:val="0"/>
              <w:marRight w:val="0"/>
              <w:marTop w:val="0"/>
              <w:marBottom w:val="0"/>
              <w:divBdr>
                <w:top w:val="none" w:sz="0" w:space="0" w:color="auto"/>
                <w:left w:val="none" w:sz="0" w:space="0" w:color="auto"/>
                <w:bottom w:val="none" w:sz="0" w:space="0" w:color="auto"/>
                <w:right w:val="none" w:sz="0" w:space="0" w:color="auto"/>
              </w:divBdr>
            </w:div>
            <w:div w:id="470942939">
              <w:marLeft w:val="0"/>
              <w:marRight w:val="0"/>
              <w:marTop w:val="0"/>
              <w:marBottom w:val="0"/>
              <w:divBdr>
                <w:top w:val="none" w:sz="0" w:space="0" w:color="auto"/>
                <w:left w:val="none" w:sz="0" w:space="0" w:color="auto"/>
                <w:bottom w:val="none" w:sz="0" w:space="0" w:color="auto"/>
                <w:right w:val="none" w:sz="0" w:space="0" w:color="auto"/>
              </w:divBdr>
            </w:div>
            <w:div w:id="1494763835">
              <w:marLeft w:val="0"/>
              <w:marRight w:val="0"/>
              <w:marTop w:val="0"/>
              <w:marBottom w:val="0"/>
              <w:divBdr>
                <w:top w:val="none" w:sz="0" w:space="0" w:color="auto"/>
                <w:left w:val="none" w:sz="0" w:space="0" w:color="auto"/>
                <w:bottom w:val="none" w:sz="0" w:space="0" w:color="auto"/>
                <w:right w:val="none" w:sz="0" w:space="0" w:color="auto"/>
              </w:divBdr>
            </w:div>
            <w:div w:id="1781099434">
              <w:marLeft w:val="0"/>
              <w:marRight w:val="0"/>
              <w:marTop w:val="0"/>
              <w:marBottom w:val="0"/>
              <w:divBdr>
                <w:top w:val="none" w:sz="0" w:space="0" w:color="auto"/>
                <w:left w:val="none" w:sz="0" w:space="0" w:color="auto"/>
                <w:bottom w:val="none" w:sz="0" w:space="0" w:color="auto"/>
                <w:right w:val="none" w:sz="0" w:space="0" w:color="auto"/>
              </w:divBdr>
            </w:div>
            <w:div w:id="1930650092">
              <w:marLeft w:val="0"/>
              <w:marRight w:val="0"/>
              <w:marTop w:val="0"/>
              <w:marBottom w:val="0"/>
              <w:divBdr>
                <w:top w:val="none" w:sz="0" w:space="0" w:color="auto"/>
                <w:left w:val="none" w:sz="0" w:space="0" w:color="auto"/>
                <w:bottom w:val="none" w:sz="0" w:space="0" w:color="auto"/>
                <w:right w:val="none" w:sz="0" w:space="0" w:color="auto"/>
              </w:divBdr>
            </w:div>
            <w:div w:id="884559997">
              <w:marLeft w:val="0"/>
              <w:marRight w:val="0"/>
              <w:marTop w:val="0"/>
              <w:marBottom w:val="0"/>
              <w:divBdr>
                <w:top w:val="none" w:sz="0" w:space="0" w:color="auto"/>
                <w:left w:val="none" w:sz="0" w:space="0" w:color="auto"/>
                <w:bottom w:val="none" w:sz="0" w:space="0" w:color="auto"/>
                <w:right w:val="none" w:sz="0" w:space="0" w:color="auto"/>
              </w:divBdr>
            </w:div>
            <w:div w:id="1714765015">
              <w:marLeft w:val="0"/>
              <w:marRight w:val="0"/>
              <w:marTop w:val="0"/>
              <w:marBottom w:val="0"/>
              <w:divBdr>
                <w:top w:val="none" w:sz="0" w:space="0" w:color="auto"/>
                <w:left w:val="none" w:sz="0" w:space="0" w:color="auto"/>
                <w:bottom w:val="none" w:sz="0" w:space="0" w:color="auto"/>
                <w:right w:val="none" w:sz="0" w:space="0" w:color="auto"/>
              </w:divBdr>
            </w:div>
            <w:div w:id="521937427">
              <w:marLeft w:val="0"/>
              <w:marRight w:val="0"/>
              <w:marTop w:val="0"/>
              <w:marBottom w:val="0"/>
              <w:divBdr>
                <w:top w:val="none" w:sz="0" w:space="0" w:color="auto"/>
                <w:left w:val="none" w:sz="0" w:space="0" w:color="auto"/>
                <w:bottom w:val="none" w:sz="0" w:space="0" w:color="auto"/>
                <w:right w:val="none" w:sz="0" w:space="0" w:color="auto"/>
              </w:divBdr>
            </w:div>
            <w:div w:id="1321733199">
              <w:marLeft w:val="0"/>
              <w:marRight w:val="0"/>
              <w:marTop w:val="0"/>
              <w:marBottom w:val="0"/>
              <w:divBdr>
                <w:top w:val="none" w:sz="0" w:space="0" w:color="auto"/>
                <w:left w:val="none" w:sz="0" w:space="0" w:color="auto"/>
                <w:bottom w:val="none" w:sz="0" w:space="0" w:color="auto"/>
                <w:right w:val="none" w:sz="0" w:space="0" w:color="auto"/>
              </w:divBdr>
            </w:div>
            <w:div w:id="915164526">
              <w:marLeft w:val="0"/>
              <w:marRight w:val="0"/>
              <w:marTop w:val="0"/>
              <w:marBottom w:val="0"/>
              <w:divBdr>
                <w:top w:val="none" w:sz="0" w:space="0" w:color="auto"/>
                <w:left w:val="none" w:sz="0" w:space="0" w:color="auto"/>
                <w:bottom w:val="none" w:sz="0" w:space="0" w:color="auto"/>
                <w:right w:val="none" w:sz="0" w:space="0" w:color="auto"/>
              </w:divBdr>
            </w:div>
            <w:div w:id="189416702">
              <w:marLeft w:val="0"/>
              <w:marRight w:val="0"/>
              <w:marTop w:val="0"/>
              <w:marBottom w:val="0"/>
              <w:divBdr>
                <w:top w:val="none" w:sz="0" w:space="0" w:color="auto"/>
                <w:left w:val="none" w:sz="0" w:space="0" w:color="auto"/>
                <w:bottom w:val="none" w:sz="0" w:space="0" w:color="auto"/>
                <w:right w:val="none" w:sz="0" w:space="0" w:color="auto"/>
              </w:divBdr>
            </w:div>
            <w:div w:id="1720670029">
              <w:marLeft w:val="0"/>
              <w:marRight w:val="0"/>
              <w:marTop w:val="0"/>
              <w:marBottom w:val="0"/>
              <w:divBdr>
                <w:top w:val="none" w:sz="0" w:space="0" w:color="auto"/>
                <w:left w:val="none" w:sz="0" w:space="0" w:color="auto"/>
                <w:bottom w:val="none" w:sz="0" w:space="0" w:color="auto"/>
                <w:right w:val="none" w:sz="0" w:space="0" w:color="auto"/>
              </w:divBdr>
            </w:div>
            <w:div w:id="1509516643">
              <w:marLeft w:val="0"/>
              <w:marRight w:val="0"/>
              <w:marTop w:val="0"/>
              <w:marBottom w:val="0"/>
              <w:divBdr>
                <w:top w:val="none" w:sz="0" w:space="0" w:color="auto"/>
                <w:left w:val="none" w:sz="0" w:space="0" w:color="auto"/>
                <w:bottom w:val="none" w:sz="0" w:space="0" w:color="auto"/>
                <w:right w:val="none" w:sz="0" w:space="0" w:color="auto"/>
              </w:divBdr>
            </w:div>
            <w:div w:id="838884829">
              <w:marLeft w:val="0"/>
              <w:marRight w:val="0"/>
              <w:marTop w:val="0"/>
              <w:marBottom w:val="0"/>
              <w:divBdr>
                <w:top w:val="none" w:sz="0" w:space="0" w:color="auto"/>
                <w:left w:val="none" w:sz="0" w:space="0" w:color="auto"/>
                <w:bottom w:val="none" w:sz="0" w:space="0" w:color="auto"/>
                <w:right w:val="none" w:sz="0" w:space="0" w:color="auto"/>
              </w:divBdr>
            </w:div>
            <w:div w:id="504900525">
              <w:marLeft w:val="0"/>
              <w:marRight w:val="0"/>
              <w:marTop w:val="0"/>
              <w:marBottom w:val="0"/>
              <w:divBdr>
                <w:top w:val="none" w:sz="0" w:space="0" w:color="auto"/>
                <w:left w:val="none" w:sz="0" w:space="0" w:color="auto"/>
                <w:bottom w:val="none" w:sz="0" w:space="0" w:color="auto"/>
                <w:right w:val="none" w:sz="0" w:space="0" w:color="auto"/>
              </w:divBdr>
            </w:div>
            <w:div w:id="417407989">
              <w:marLeft w:val="0"/>
              <w:marRight w:val="0"/>
              <w:marTop w:val="0"/>
              <w:marBottom w:val="0"/>
              <w:divBdr>
                <w:top w:val="none" w:sz="0" w:space="0" w:color="auto"/>
                <w:left w:val="none" w:sz="0" w:space="0" w:color="auto"/>
                <w:bottom w:val="none" w:sz="0" w:space="0" w:color="auto"/>
                <w:right w:val="none" w:sz="0" w:space="0" w:color="auto"/>
              </w:divBdr>
            </w:div>
            <w:div w:id="2027562578">
              <w:marLeft w:val="0"/>
              <w:marRight w:val="0"/>
              <w:marTop w:val="0"/>
              <w:marBottom w:val="0"/>
              <w:divBdr>
                <w:top w:val="none" w:sz="0" w:space="0" w:color="auto"/>
                <w:left w:val="none" w:sz="0" w:space="0" w:color="auto"/>
                <w:bottom w:val="none" w:sz="0" w:space="0" w:color="auto"/>
                <w:right w:val="none" w:sz="0" w:space="0" w:color="auto"/>
              </w:divBdr>
            </w:div>
            <w:div w:id="884295585">
              <w:marLeft w:val="0"/>
              <w:marRight w:val="0"/>
              <w:marTop w:val="0"/>
              <w:marBottom w:val="0"/>
              <w:divBdr>
                <w:top w:val="none" w:sz="0" w:space="0" w:color="auto"/>
                <w:left w:val="none" w:sz="0" w:space="0" w:color="auto"/>
                <w:bottom w:val="none" w:sz="0" w:space="0" w:color="auto"/>
                <w:right w:val="none" w:sz="0" w:space="0" w:color="auto"/>
              </w:divBdr>
            </w:div>
            <w:div w:id="2096510455">
              <w:marLeft w:val="0"/>
              <w:marRight w:val="0"/>
              <w:marTop w:val="0"/>
              <w:marBottom w:val="0"/>
              <w:divBdr>
                <w:top w:val="none" w:sz="0" w:space="0" w:color="auto"/>
                <w:left w:val="none" w:sz="0" w:space="0" w:color="auto"/>
                <w:bottom w:val="none" w:sz="0" w:space="0" w:color="auto"/>
                <w:right w:val="none" w:sz="0" w:space="0" w:color="auto"/>
              </w:divBdr>
            </w:div>
            <w:div w:id="1783375524">
              <w:marLeft w:val="0"/>
              <w:marRight w:val="0"/>
              <w:marTop w:val="0"/>
              <w:marBottom w:val="0"/>
              <w:divBdr>
                <w:top w:val="none" w:sz="0" w:space="0" w:color="auto"/>
                <w:left w:val="none" w:sz="0" w:space="0" w:color="auto"/>
                <w:bottom w:val="none" w:sz="0" w:space="0" w:color="auto"/>
                <w:right w:val="none" w:sz="0" w:space="0" w:color="auto"/>
              </w:divBdr>
            </w:div>
            <w:div w:id="2106731465">
              <w:marLeft w:val="0"/>
              <w:marRight w:val="0"/>
              <w:marTop w:val="0"/>
              <w:marBottom w:val="0"/>
              <w:divBdr>
                <w:top w:val="none" w:sz="0" w:space="0" w:color="auto"/>
                <w:left w:val="none" w:sz="0" w:space="0" w:color="auto"/>
                <w:bottom w:val="none" w:sz="0" w:space="0" w:color="auto"/>
                <w:right w:val="none" w:sz="0" w:space="0" w:color="auto"/>
              </w:divBdr>
            </w:div>
            <w:div w:id="1312441631">
              <w:marLeft w:val="0"/>
              <w:marRight w:val="0"/>
              <w:marTop w:val="0"/>
              <w:marBottom w:val="0"/>
              <w:divBdr>
                <w:top w:val="none" w:sz="0" w:space="0" w:color="auto"/>
                <w:left w:val="none" w:sz="0" w:space="0" w:color="auto"/>
                <w:bottom w:val="none" w:sz="0" w:space="0" w:color="auto"/>
                <w:right w:val="none" w:sz="0" w:space="0" w:color="auto"/>
              </w:divBdr>
            </w:div>
            <w:div w:id="1622304294">
              <w:marLeft w:val="0"/>
              <w:marRight w:val="0"/>
              <w:marTop w:val="0"/>
              <w:marBottom w:val="0"/>
              <w:divBdr>
                <w:top w:val="none" w:sz="0" w:space="0" w:color="auto"/>
                <w:left w:val="none" w:sz="0" w:space="0" w:color="auto"/>
                <w:bottom w:val="none" w:sz="0" w:space="0" w:color="auto"/>
                <w:right w:val="none" w:sz="0" w:space="0" w:color="auto"/>
              </w:divBdr>
            </w:div>
            <w:div w:id="1900285522">
              <w:marLeft w:val="0"/>
              <w:marRight w:val="0"/>
              <w:marTop w:val="0"/>
              <w:marBottom w:val="0"/>
              <w:divBdr>
                <w:top w:val="none" w:sz="0" w:space="0" w:color="auto"/>
                <w:left w:val="none" w:sz="0" w:space="0" w:color="auto"/>
                <w:bottom w:val="none" w:sz="0" w:space="0" w:color="auto"/>
                <w:right w:val="none" w:sz="0" w:space="0" w:color="auto"/>
              </w:divBdr>
            </w:div>
            <w:div w:id="1847019029">
              <w:marLeft w:val="0"/>
              <w:marRight w:val="0"/>
              <w:marTop w:val="0"/>
              <w:marBottom w:val="0"/>
              <w:divBdr>
                <w:top w:val="none" w:sz="0" w:space="0" w:color="auto"/>
                <w:left w:val="none" w:sz="0" w:space="0" w:color="auto"/>
                <w:bottom w:val="none" w:sz="0" w:space="0" w:color="auto"/>
                <w:right w:val="none" w:sz="0" w:space="0" w:color="auto"/>
              </w:divBdr>
            </w:div>
            <w:div w:id="951591817">
              <w:marLeft w:val="0"/>
              <w:marRight w:val="0"/>
              <w:marTop w:val="0"/>
              <w:marBottom w:val="0"/>
              <w:divBdr>
                <w:top w:val="none" w:sz="0" w:space="0" w:color="auto"/>
                <w:left w:val="none" w:sz="0" w:space="0" w:color="auto"/>
                <w:bottom w:val="none" w:sz="0" w:space="0" w:color="auto"/>
                <w:right w:val="none" w:sz="0" w:space="0" w:color="auto"/>
              </w:divBdr>
            </w:div>
            <w:div w:id="14884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8279">
      <w:bodyDiv w:val="1"/>
      <w:marLeft w:val="0"/>
      <w:marRight w:val="0"/>
      <w:marTop w:val="0"/>
      <w:marBottom w:val="0"/>
      <w:divBdr>
        <w:top w:val="none" w:sz="0" w:space="0" w:color="auto"/>
        <w:left w:val="none" w:sz="0" w:space="0" w:color="auto"/>
        <w:bottom w:val="none" w:sz="0" w:space="0" w:color="auto"/>
        <w:right w:val="none" w:sz="0" w:space="0" w:color="auto"/>
      </w:divBdr>
      <w:divsChild>
        <w:div w:id="370494392">
          <w:marLeft w:val="480"/>
          <w:marRight w:val="0"/>
          <w:marTop w:val="0"/>
          <w:marBottom w:val="0"/>
          <w:divBdr>
            <w:top w:val="none" w:sz="0" w:space="0" w:color="auto"/>
            <w:left w:val="none" w:sz="0" w:space="0" w:color="auto"/>
            <w:bottom w:val="none" w:sz="0" w:space="0" w:color="auto"/>
            <w:right w:val="none" w:sz="0" w:space="0" w:color="auto"/>
          </w:divBdr>
          <w:divsChild>
            <w:div w:id="1416711364">
              <w:marLeft w:val="0"/>
              <w:marRight w:val="0"/>
              <w:marTop w:val="0"/>
              <w:marBottom w:val="0"/>
              <w:divBdr>
                <w:top w:val="none" w:sz="0" w:space="0" w:color="auto"/>
                <w:left w:val="none" w:sz="0" w:space="0" w:color="auto"/>
                <w:bottom w:val="none" w:sz="0" w:space="0" w:color="auto"/>
                <w:right w:val="none" w:sz="0" w:space="0" w:color="auto"/>
              </w:divBdr>
            </w:div>
            <w:div w:id="483862134">
              <w:marLeft w:val="0"/>
              <w:marRight w:val="0"/>
              <w:marTop w:val="0"/>
              <w:marBottom w:val="0"/>
              <w:divBdr>
                <w:top w:val="none" w:sz="0" w:space="0" w:color="auto"/>
                <w:left w:val="none" w:sz="0" w:space="0" w:color="auto"/>
                <w:bottom w:val="none" w:sz="0" w:space="0" w:color="auto"/>
                <w:right w:val="none" w:sz="0" w:space="0" w:color="auto"/>
              </w:divBdr>
            </w:div>
            <w:div w:id="444035570">
              <w:marLeft w:val="0"/>
              <w:marRight w:val="0"/>
              <w:marTop w:val="0"/>
              <w:marBottom w:val="0"/>
              <w:divBdr>
                <w:top w:val="none" w:sz="0" w:space="0" w:color="auto"/>
                <w:left w:val="none" w:sz="0" w:space="0" w:color="auto"/>
                <w:bottom w:val="none" w:sz="0" w:space="0" w:color="auto"/>
                <w:right w:val="none" w:sz="0" w:space="0" w:color="auto"/>
              </w:divBdr>
            </w:div>
            <w:div w:id="23747526">
              <w:marLeft w:val="0"/>
              <w:marRight w:val="0"/>
              <w:marTop w:val="0"/>
              <w:marBottom w:val="0"/>
              <w:divBdr>
                <w:top w:val="none" w:sz="0" w:space="0" w:color="auto"/>
                <w:left w:val="none" w:sz="0" w:space="0" w:color="auto"/>
                <w:bottom w:val="none" w:sz="0" w:space="0" w:color="auto"/>
                <w:right w:val="none" w:sz="0" w:space="0" w:color="auto"/>
              </w:divBdr>
            </w:div>
            <w:div w:id="1357658848">
              <w:marLeft w:val="0"/>
              <w:marRight w:val="0"/>
              <w:marTop w:val="0"/>
              <w:marBottom w:val="0"/>
              <w:divBdr>
                <w:top w:val="none" w:sz="0" w:space="0" w:color="auto"/>
                <w:left w:val="none" w:sz="0" w:space="0" w:color="auto"/>
                <w:bottom w:val="none" w:sz="0" w:space="0" w:color="auto"/>
                <w:right w:val="none" w:sz="0" w:space="0" w:color="auto"/>
              </w:divBdr>
            </w:div>
            <w:div w:id="1332371935">
              <w:marLeft w:val="0"/>
              <w:marRight w:val="0"/>
              <w:marTop w:val="0"/>
              <w:marBottom w:val="0"/>
              <w:divBdr>
                <w:top w:val="none" w:sz="0" w:space="0" w:color="auto"/>
                <w:left w:val="none" w:sz="0" w:space="0" w:color="auto"/>
                <w:bottom w:val="none" w:sz="0" w:space="0" w:color="auto"/>
                <w:right w:val="none" w:sz="0" w:space="0" w:color="auto"/>
              </w:divBdr>
            </w:div>
            <w:div w:id="1151216281">
              <w:marLeft w:val="0"/>
              <w:marRight w:val="0"/>
              <w:marTop w:val="0"/>
              <w:marBottom w:val="0"/>
              <w:divBdr>
                <w:top w:val="none" w:sz="0" w:space="0" w:color="auto"/>
                <w:left w:val="none" w:sz="0" w:space="0" w:color="auto"/>
                <w:bottom w:val="none" w:sz="0" w:space="0" w:color="auto"/>
                <w:right w:val="none" w:sz="0" w:space="0" w:color="auto"/>
              </w:divBdr>
            </w:div>
            <w:div w:id="827675553">
              <w:marLeft w:val="0"/>
              <w:marRight w:val="0"/>
              <w:marTop w:val="0"/>
              <w:marBottom w:val="0"/>
              <w:divBdr>
                <w:top w:val="none" w:sz="0" w:space="0" w:color="auto"/>
                <w:left w:val="none" w:sz="0" w:space="0" w:color="auto"/>
                <w:bottom w:val="none" w:sz="0" w:space="0" w:color="auto"/>
                <w:right w:val="none" w:sz="0" w:space="0" w:color="auto"/>
              </w:divBdr>
            </w:div>
            <w:div w:id="1835603350">
              <w:marLeft w:val="0"/>
              <w:marRight w:val="0"/>
              <w:marTop w:val="0"/>
              <w:marBottom w:val="0"/>
              <w:divBdr>
                <w:top w:val="none" w:sz="0" w:space="0" w:color="auto"/>
                <w:left w:val="none" w:sz="0" w:space="0" w:color="auto"/>
                <w:bottom w:val="none" w:sz="0" w:space="0" w:color="auto"/>
                <w:right w:val="none" w:sz="0" w:space="0" w:color="auto"/>
              </w:divBdr>
            </w:div>
            <w:div w:id="744956408">
              <w:marLeft w:val="0"/>
              <w:marRight w:val="0"/>
              <w:marTop w:val="0"/>
              <w:marBottom w:val="0"/>
              <w:divBdr>
                <w:top w:val="none" w:sz="0" w:space="0" w:color="auto"/>
                <w:left w:val="none" w:sz="0" w:space="0" w:color="auto"/>
                <w:bottom w:val="none" w:sz="0" w:space="0" w:color="auto"/>
                <w:right w:val="none" w:sz="0" w:space="0" w:color="auto"/>
              </w:divBdr>
            </w:div>
            <w:div w:id="1147939217">
              <w:marLeft w:val="0"/>
              <w:marRight w:val="0"/>
              <w:marTop w:val="0"/>
              <w:marBottom w:val="0"/>
              <w:divBdr>
                <w:top w:val="none" w:sz="0" w:space="0" w:color="auto"/>
                <w:left w:val="none" w:sz="0" w:space="0" w:color="auto"/>
                <w:bottom w:val="none" w:sz="0" w:space="0" w:color="auto"/>
                <w:right w:val="none" w:sz="0" w:space="0" w:color="auto"/>
              </w:divBdr>
            </w:div>
            <w:div w:id="1088423586">
              <w:marLeft w:val="0"/>
              <w:marRight w:val="0"/>
              <w:marTop w:val="0"/>
              <w:marBottom w:val="0"/>
              <w:divBdr>
                <w:top w:val="none" w:sz="0" w:space="0" w:color="auto"/>
                <w:left w:val="none" w:sz="0" w:space="0" w:color="auto"/>
                <w:bottom w:val="none" w:sz="0" w:space="0" w:color="auto"/>
                <w:right w:val="none" w:sz="0" w:space="0" w:color="auto"/>
              </w:divBdr>
            </w:div>
            <w:div w:id="1910458430">
              <w:marLeft w:val="0"/>
              <w:marRight w:val="0"/>
              <w:marTop w:val="0"/>
              <w:marBottom w:val="0"/>
              <w:divBdr>
                <w:top w:val="none" w:sz="0" w:space="0" w:color="auto"/>
                <w:left w:val="none" w:sz="0" w:space="0" w:color="auto"/>
                <w:bottom w:val="none" w:sz="0" w:space="0" w:color="auto"/>
                <w:right w:val="none" w:sz="0" w:space="0" w:color="auto"/>
              </w:divBdr>
            </w:div>
            <w:div w:id="177668421">
              <w:marLeft w:val="0"/>
              <w:marRight w:val="0"/>
              <w:marTop w:val="0"/>
              <w:marBottom w:val="0"/>
              <w:divBdr>
                <w:top w:val="none" w:sz="0" w:space="0" w:color="auto"/>
                <w:left w:val="none" w:sz="0" w:space="0" w:color="auto"/>
                <w:bottom w:val="none" w:sz="0" w:space="0" w:color="auto"/>
                <w:right w:val="none" w:sz="0" w:space="0" w:color="auto"/>
              </w:divBdr>
            </w:div>
            <w:div w:id="1122847990">
              <w:marLeft w:val="0"/>
              <w:marRight w:val="0"/>
              <w:marTop w:val="0"/>
              <w:marBottom w:val="0"/>
              <w:divBdr>
                <w:top w:val="none" w:sz="0" w:space="0" w:color="auto"/>
                <w:left w:val="none" w:sz="0" w:space="0" w:color="auto"/>
                <w:bottom w:val="none" w:sz="0" w:space="0" w:color="auto"/>
                <w:right w:val="none" w:sz="0" w:space="0" w:color="auto"/>
              </w:divBdr>
            </w:div>
            <w:div w:id="254482754">
              <w:marLeft w:val="0"/>
              <w:marRight w:val="0"/>
              <w:marTop w:val="0"/>
              <w:marBottom w:val="0"/>
              <w:divBdr>
                <w:top w:val="none" w:sz="0" w:space="0" w:color="auto"/>
                <w:left w:val="none" w:sz="0" w:space="0" w:color="auto"/>
                <w:bottom w:val="none" w:sz="0" w:space="0" w:color="auto"/>
                <w:right w:val="none" w:sz="0" w:space="0" w:color="auto"/>
              </w:divBdr>
            </w:div>
            <w:div w:id="62144925">
              <w:marLeft w:val="0"/>
              <w:marRight w:val="0"/>
              <w:marTop w:val="0"/>
              <w:marBottom w:val="0"/>
              <w:divBdr>
                <w:top w:val="none" w:sz="0" w:space="0" w:color="auto"/>
                <w:left w:val="none" w:sz="0" w:space="0" w:color="auto"/>
                <w:bottom w:val="none" w:sz="0" w:space="0" w:color="auto"/>
                <w:right w:val="none" w:sz="0" w:space="0" w:color="auto"/>
              </w:divBdr>
            </w:div>
            <w:div w:id="849100699">
              <w:marLeft w:val="0"/>
              <w:marRight w:val="0"/>
              <w:marTop w:val="0"/>
              <w:marBottom w:val="0"/>
              <w:divBdr>
                <w:top w:val="none" w:sz="0" w:space="0" w:color="auto"/>
                <w:left w:val="none" w:sz="0" w:space="0" w:color="auto"/>
                <w:bottom w:val="none" w:sz="0" w:space="0" w:color="auto"/>
                <w:right w:val="none" w:sz="0" w:space="0" w:color="auto"/>
              </w:divBdr>
            </w:div>
            <w:div w:id="1043599016">
              <w:marLeft w:val="0"/>
              <w:marRight w:val="0"/>
              <w:marTop w:val="0"/>
              <w:marBottom w:val="0"/>
              <w:divBdr>
                <w:top w:val="none" w:sz="0" w:space="0" w:color="auto"/>
                <w:left w:val="none" w:sz="0" w:space="0" w:color="auto"/>
                <w:bottom w:val="none" w:sz="0" w:space="0" w:color="auto"/>
                <w:right w:val="none" w:sz="0" w:space="0" w:color="auto"/>
              </w:divBdr>
            </w:div>
            <w:div w:id="1312637319">
              <w:marLeft w:val="0"/>
              <w:marRight w:val="0"/>
              <w:marTop w:val="0"/>
              <w:marBottom w:val="0"/>
              <w:divBdr>
                <w:top w:val="none" w:sz="0" w:space="0" w:color="auto"/>
                <w:left w:val="none" w:sz="0" w:space="0" w:color="auto"/>
                <w:bottom w:val="none" w:sz="0" w:space="0" w:color="auto"/>
                <w:right w:val="none" w:sz="0" w:space="0" w:color="auto"/>
              </w:divBdr>
            </w:div>
            <w:div w:id="1693456734">
              <w:marLeft w:val="0"/>
              <w:marRight w:val="0"/>
              <w:marTop w:val="0"/>
              <w:marBottom w:val="0"/>
              <w:divBdr>
                <w:top w:val="none" w:sz="0" w:space="0" w:color="auto"/>
                <w:left w:val="none" w:sz="0" w:space="0" w:color="auto"/>
                <w:bottom w:val="none" w:sz="0" w:space="0" w:color="auto"/>
                <w:right w:val="none" w:sz="0" w:space="0" w:color="auto"/>
              </w:divBdr>
            </w:div>
            <w:div w:id="820274828">
              <w:marLeft w:val="0"/>
              <w:marRight w:val="0"/>
              <w:marTop w:val="0"/>
              <w:marBottom w:val="0"/>
              <w:divBdr>
                <w:top w:val="none" w:sz="0" w:space="0" w:color="auto"/>
                <w:left w:val="none" w:sz="0" w:space="0" w:color="auto"/>
                <w:bottom w:val="none" w:sz="0" w:space="0" w:color="auto"/>
                <w:right w:val="none" w:sz="0" w:space="0" w:color="auto"/>
              </w:divBdr>
            </w:div>
            <w:div w:id="990258644">
              <w:marLeft w:val="0"/>
              <w:marRight w:val="0"/>
              <w:marTop w:val="0"/>
              <w:marBottom w:val="0"/>
              <w:divBdr>
                <w:top w:val="none" w:sz="0" w:space="0" w:color="auto"/>
                <w:left w:val="none" w:sz="0" w:space="0" w:color="auto"/>
                <w:bottom w:val="none" w:sz="0" w:space="0" w:color="auto"/>
                <w:right w:val="none" w:sz="0" w:space="0" w:color="auto"/>
              </w:divBdr>
            </w:div>
            <w:div w:id="1432236137">
              <w:marLeft w:val="0"/>
              <w:marRight w:val="0"/>
              <w:marTop w:val="0"/>
              <w:marBottom w:val="0"/>
              <w:divBdr>
                <w:top w:val="none" w:sz="0" w:space="0" w:color="auto"/>
                <w:left w:val="none" w:sz="0" w:space="0" w:color="auto"/>
                <w:bottom w:val="none" w:sz="0" w:space="0" w:color="auto"/>
                <w:right w:val="none" w:sz="0" w:space="0" w:color="auto"/>
              </w:divBdr>
            </w:div>
            <w:div w:id="1392533044">
              <w:marLeft w:val="0"/>
              <w:marRight w:val="0"/>
              <w:marTop w:val="0"/>
              <w:marBottom w:val="0"/>
              <w:divBdr>
                <w:top w:val="none" w:sz="0" w:space="0" w:color="auto"/>
                <w:left w:val="none" w:sz="0" w:space="0" w:color="auto"/>
                <w:bottom w:val="none" w:sz="0" w:space="0" w:color="auto"/>
                <w:right w:val="none" w:sz="0" w:space="0" w:color="auto"/>
              </w:divBdr>
            </w:div>
            <w:div w:id="530727130">
              <w:marLeft w:val="0"/>
              <w:marRight w:val="0"/>
              <w:marTop w:val="0"/>
              <w:marBottom w:val="0"/>
              <w:divBdr>
                <w:top w:val="none" w:sz="0" w:space="0" w:color="auto"/>
                <w:left w:val="none" w:sz="0" w:space="0" w:color="auto"/>
                <w:bottom w:val="none" w:sz="0" w:space="0" w:color="auto"/>
                <w:right w:val="none" w:sz="0" w:space="0" w:color="auto"/>
              </w:divBdr>
            </w:div>
            <w:div w:id="418865485">
              <w:marLeft w:val="0"/>
              <w:marRight w:val="0"/>
              <w:marTop w:val="0"/>
              <w:marBottom w:val="0"/>
              <w:divBdr>
                <w:top w:val="none" w:sz="0" w:space="0" w:color="auto"/>
                <w:left w:val="none" w:sz="0" w:space="0" w:color="auto"/>
                <w:bottom w:val="none" w:sz="0" w:space="0" w:color="auto"/>
                <w:right w:val="none" w:sz="0" w:space="0" w:color="auto"/>
              </w:divBdr>
            </w:div>
            <w:div w:id="1512573285">
              <w:marLeft w:val="0"/>
              <w:marRight w:val="0"/>
              <w:marTop w:val="0"/>
              <w:marBottom w:val="0"/>
              <w:divBdr>
                <w:top w:val="none" w:sz="0" w:space="0" w:color="auto"/>
                <w:left w:val="none" w:sz="0" w:space="0" w:color="auto"/>
                <w:bottom w:val="none" w:sz="0" w:space="0" w:color="auto"/>
                <w:right w:val="none" w:sz="0" w:space="0" w:color="auto"/>
              </w:divBdr>
            </w:div>
            <w:div w:id="17825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org/Beliefs/Position-Papers/Apostles-and-Prophe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harismanews.com/opinion/31851-the-new-apostolic-reformation-is-not-a-cu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opheticstandards.com" TargetMode="External"/><Relationship Id="rId4" Type="http://schemas.openxmlformats.org/officeDocument/2006/relationships/webSettings" Target="webSettings.xml"/><Relationship Id="rId9" Type="http://schemas.openxmlformats.org/officeDocument/2006/relationships/hyperlink" Target="https://narandchristiannationalis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FC091-5931-4879-A306-175E3314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Hirt</dc:creator>
  <cp:keywords/>
  <dc:description/>
  <cp:lastModifiedBy>Kathy Jennings</cp:lastModifiedBy>
  <cp:revision>4</cp:revision>
  <dcterms:created xsi:type="dcterms:W3CDTF">2023-03-28T19:15:00Z</dcterms:created>
  <dcterms:modified xsi:type="dcterms:W3CDTF">2023-04-04T11:23:00Z</dcterms:modified>
</cp:coreProperties>
</file>