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98AEB" w14:textId="77777777" w:rsidR="005B2D99" w:rsidRDefault="00DD2188" w:rsidP="005B2D99">
      <w:pPr>
        <w:spacing w:line="240" w:lineRule="auto"/>
        <w:jc w:val="center"/>
        <w:rPr>
          <w:rFonts w:ascii="Times New Roman" w:eastAsia="Times New Roman" w:hAnsi="Times New Roman" w:cs="Times New Roman"/>
          <w:b/>
          <w:sz w:val="24"/>
          <w:szCs w:val="24"/>
        </w:rPr>
      </w:pPr>
      <w:r w:rsidRPr="00DD2188">
        <w:rPr>
          <w:rFonts w:ascii="Times New Roman" w:eastAsia="Times New Roman" w:hAnsi="Times New Roman" w:cs="Times New Roman"/>
          <w:b/>
          <w:sz w:val="24"/>
          <w:szCs w:val="24"/>
        </w:rPr>
        <w:t xml:space="preserve">More Local </w:t>
      </w:r>
      <w:r>
        <w:rPr>
          <w:rFonts w:ascii="Times New Roman" w:eastAsia="Times New Roman" w:hAnsi="Times New Roman" w:cs="Times New Roman"/>
          <w:b/>
          <w:sz w:val="24"/>
          <w:szCs w:val="24"/>
        </w:rPr>
        <w:t>t</w:t>
      </w:r>
      <w:r w:rsidRPr="00DD2188">
        <w:rPr>
          <w:rFonts w:ascii="Times New Roman" w:eastAsia="Times New Roman" w:hAnsi="Times New Roman" w:cs="Times New Roman"/>
          <w:b/>
          <w:sz w:val="24"/>
          <w:szCs w:val="24"/>
        </w:rPr>
        <w:t xml:space="preserve">han </w:t>
      </w:r>
      <w:r>
        <w:rPr>
          <w:rFonts w:ascii="Times New Roman" w:eastAsia="Times New Roman" w:hAnsi="Times New Roman" w:cs="Times New Roman"/>
          <w:b/>
          <w:sz w:val="24"/>
          <w:szCs w:val="24"/>
        </w:rPr>
        <w:t>t</w:t>
      </w:r>
      <w:r w:rsidRPr="00DD2188">
        <w:rPr>
          <w:rFonts w:ascii="Times New Roman" w:eastAsia="Times New Roman" w:hAnsi="Times New Roman" w:cs="Times New Roman"/>
          <w:b/>
          <w:sz w:val="24"/>
          <w:szCs w:val="24"/>
        </w:rPr>
        <w:t>he Locals:</w:t>
      </w:r>
    </w:p>
    <w:p w14:paraId="00000002" w14:textId="4379BDF7" w:rsidR="00961A82" w:rsidRDefault="00DD2188" w:rsidP="00295D0E">
      <w:pPr>
        <w:spacing w:after="160" w:line="240" w:lineRule="auto"/>
        <w:jc w:val="center"/>
        <w:rPr>
          <w:rFonts w:ascii="Times New Roman" w:eastAsia="Times New Roman" w:hAnsi="Times New Roman" w:cs="Times New Roman"/>
          <w:b/>
          <w:sz w:val="24"/>
          <w:szCs w:val="24"/>
        </w:rPr>
      </w:pPr>
      <w:r w:rsidRPr="00DD2188">
        <w:rPr>
          <w:rFonts w:ascii="Times New Roman" w:eastAsia="Times New Roman" w:hAnsi="Times New Roman" w:cs="Times New Roman"/>
          <w:b/>
          <w:sz w:val="24"/>
          <w:szCs w:val="24"/>
        </w:rPr>
        <w:t xml:space="preserve">An </w:t>
      </w:r>
      <w:proofErr w:type="spellStart"/>
      <w:r w:rsidRPr="00DD2188">
        <w:rPr>
          <w:rFonts w:ascii="Times New Roman" w:eastAsia="Times New Roman" w:hAnsi="Times New Roman" w:cs="Times New Roman"/>
          <w:b/>
          <w:sz w:val="24"/>
          <w:szCs w:val="24"/>
        </w:rPr>
        <w:t>Ethnoscopic</w:t>
      </w:r>
      <w:proofErr w:type="spellEnd"/>
      <w:r w:rsidRPr="00DD2188">
        <w:rPr>
          <w:rFonts w:ascii="Times New Roman" w:eastAsia="Times New Roman" w:hAnsi="Times New Roman" w:cs="Times New Roman"/>
          <w:b/>
          <w:sz w:val="24"/>
          <w:szCs w:val="24"/>
        </w:rPr>
        <w:t xml:space="preserve"> Analysis </w:t>
      </w:r>
      <w:r>
        <w:rPr>
          <w:rFonts w:ascii="Times New Roman" w:eastAsia="Times New Roman" w:hAnsi="Times New Roman" w:cs="Times New Roman"/>
          <w:b/>
          <w:sz w:val="24"/>
          <w:szCs w:val="24"/>
        </w:rPr>
        <w:t>of</w:t>
      </w:r>
      <w:r w:rsidRPr="00DD218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w:t>
      </w:r>
      <w:r w:rsidRPr="00DD2188">
        <w:rPr>
          <w:rFonts w:ascii="Times New Roman" w:eastAsia="Times New Roman" w:hAnsi="Times New Roman" w:cs="Times New Roman"/>
          <w:b/>
          <w:sz w:val="24"/>
          <w:szCs w:val="24"/>
        </w:rPr>
        <w:t xml:space="preserve"> Philippine Seminary</w:t>
      </w:r>
    </w:p>
    <w:p w14:paraId="00000004" w14:textId="4256C4C4" w:rsidR="00961A82" w:rsidRPr="000E23C9" w:rsidRDefault="00DD2188" w:rsidP="00295D0E">
      <w:pPr>
        <w:spacing w:after="16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Danyal Qalb</w:t>
      </w:r>
    </w:p>
    <w:p w14:paraId="00000006" w14:textId="1C9BC576" w:rsidR="00961A82" w:rsidRDefault="00673D43" w:rsidP="00295D0E">
      <w:pPr>
        <w:spacing w:after="160" w:line="240" w:lineRule="auto"/>
        <w:jc w:val="center"/>
        <w:rPr>
          <w:rFonts w:ascii="Times New Roman" w:eastAsia="Times New Roman" w:hAnsi="Times New Roman" w:cs="Times New Roman"/>
          <w:sz w:val="24"/>
          <w:szCs w:val="24"/>
        </w:rPr>
      </w:pPr>
      <w:r w:rsidRPr="000E23C9">
        <w:rPr>
          <w:rFonts w:ascii="Times New Roman" w:eastAsia="Times New Roman" w:hAnsi="Times New Roman" w:cs="Times New Roman"/>
          <w:color w:val="000000" w:themeColor="text1"/>
          <w:sz w:val="24"/>
          <w:szCs w:val="24"/>
        </w:rPr>
        <w:t xml:space="preserve">Published in </w:t>
      </w:r>
      <w:r w:rsidRPr="000E23C9">
        <w:rPr>
          <w:rFonts w:ascii="Times New Roman" w:eastAsia="Times New Roman" w:hAnsi="Times New Roman" w:cs="Times New Roman"/>
          <w:i/>
          <w:iCs/>
          <w:color w:val="000000" w:themeColor="text1"/>
          <w:sz w:val="24"/>
          <w:szCs w:val="24"/>
        </w:rPr>
        <w:t>Global Missiology</w:t>
      </w:r>
      <w:r w:rsidRPr="000E23C9">
        <w:rPr>
          <w:rFonts w:ascii="Times New Roman" w:eastAsia="Times New Roman" w:hAnsi="Times New Roman" w:cs="Times New Roman"/>
          <w:color w:val="000000" w:themeColor="text1"/>
          <w:sz w:val="24"/>
          <w:szCs w:val="24"/>
        </w:rPr>
        <w:t xml:space="preserve">, </w:t>
      </w:r>
      <w:hyperlink r:id="rId7" w:history="1">
        <w:r w:rsidR="000E23C9" w:rsidRPr="000E23C9">
          <w:rPr>
            <w:rStyle w:val="Hyperlink"/>
            <w:rFonts w:ascii="Times New Roman" w:eastAsia="Times New Roman" w:hAnsi="Times New Roman" w:cs="Times New Roman"/>
            <w:color w:val="000000" w:themeColor="text1"/>
            <w:sz w:val="24"/>
            <w:szCs w:val="24"/>
          </w:rPr>
          <w:t>www.globalmissiology.org</w:t>
        </w:r>
      </w:hyperlink>
      <w:r w:rsidRPr="000E23C9">
        <w:rPr>
          <w:rFonts w:ascii="Times New Roman" w:eastAsia="Times New Roman" w:hAnsi="Times New Roman" w:cs="Times New Roman"/>
          <w:color w:val="000000" w:themeColor="text1"/>
          <w:sz w:val="24"/>
          <w:szCs w:val="24"/>
        </w:rPr>
        <w:t>,</w:t>
      </w:r>
      <w:r>
        <w:rPr>
          <w:rFonts w:ascii="Times New Roman" w:eastAsia="Times New Roman" w:hAnsi="Times New Roman" w:cs="Times New Roman"/>
          <w:sz w:val="24"/>
          <w:szCs w:val="24"/>
        </w:rPr>
        <w:t xml:space="preserve"> </w:t>
      </w:r>
      <w:r w:rsidR="00DD2188">
        <w:rPr>
          <w:rFonts w:ascii="Times New Roman" w:eastAsia="Times New Roman" w:hAnsi="Times New Roman" w:cs="Times New Roman"/>
          <w:sz w:val="24"/>
          <w:szCs w:val="24"/>
        </w:rPr>
        <w:t>January</w:t>
      </w:r>
      <w:r w:rsidR="000E23C9">
        <w:rPr>
          <w:rFonts w:ascii="Times New Roman" w:eastAsia="Times New Roman" w:hAnsi="Times New Roman" w:cs="Times New Roman"/>
          <w:sz w:val="24"/>
          <w:szCs w:val="24"/>
        </w:rPr>
        <w:t xml:space="preserve"> 202</w:t>
      </w:r>
      <w:r w:rsidR="00DD2188">
        <w:rPr>
          <w:rFonts w:ascii="Times New Roman" w:eastAsia="Times New Roman" w:hAnsi="Times New Roman" w:cs="Times New Roman"/>
          <w:sz w:val="24"/>
          <w:szCs w:val="24"/>
        </w:rPr>
        <w:t>4</w:t>
      </w:r>
    </w:p>
    <w:p w14:paraId="00000007" w14:textId="77777777" w:rsidR="00961A82" w:rsidRPr="00DD2188" w:rsidRDefault="00673D43" w:rsidP="00295D0E">
      <w:pPr>
        <w:pStyle w:val="Heading1"/>
      </w:pPr>
      <w:r w:rsidRPr="00DD2188">
        <w:t>Abstract</w:t>
      </w:r>
    </w:p>
    <w:p w14:paraId="51A26176" w14:textId="68AAEFAA" w:rsidR="0002654B" w:rsidRPr="00DD2188" w:rsidRDefault="003B5106" w:rsidP="00295D0E">
      <w:pPr>
        <w:pStyle w:val="Normal1"/>
      </w:pPr>
      <w:r>
        <w:t>Most Filipinos are oral learners</w:t>
      </w:r>
      <w:r w:rsidR="009A342D">
        <w:t>; seminaries in the Philippines are often copies of their Western counterparts with</w:t>
      </w:r>
      <w:r w:rsidR="0002654B">
        <w:t xml:space="preserve"> minimal contextualization. Using Thigpen’s </w:t>
      </w:r>
      <w:r w:rsidR="0002654B" w:rsidRPr="00DD2188">
        <w:t>four-step “</w:t>
      </w:r>
      <w:proofErr w:type="spellStart"/>
      <w:r w:rsidR="0002654B" w:rsidRPr="00DD2188">
        <w:t>ethnoscopic</w:t>
      </w:r>
      <w:proofErr w:type="spellEnd"/>
      <w:r w:rsidR="0002654B" w:rsidRPr="00DD2188">
        <w:t xml:space="preserve"> analysis</w:t>
      </w:r>
      <w:r w:rsidR="00A56163">
        <w:t>,</w:t>
      </w:r>
      <w:r w:rsidR="0002654B" w:rsidRPr="00DD2188">
        <w:t>”</w:t>
      </w:r>
      <w:r w:rsidR="0002654B">
        <w:t xml:space="preserve"> I embark on a mission to examine </w:t>
      </w:r>
      <w:r w:rsidR="0002654B" w:rsidRPr="00DD2188">
        <w:t>theological education</w:t>
      </w:r>
      <w:r w:rsidR="0002654B">
        <w:t xml:space="preserve"> in the Philippines from cultural, scriptural, missiological, and pedagogical perspectives.</w:t>
      </w:r>
    </w:p>
    <w:p w14:paraId="2E532EF0" w14:textId="77777777" w:rsidR="0002654B" w:rsidRDefault="0002654B" w:rsidP="00295D0E">
      <w:pPr>
        <w:pStyle w:val="Normal2"/>
      </w:pPr>
      <w:r w:rsidRPr="0002654B">
        <w:t xml:space="preserve">The findings from the </w:t>
      </w:r>
      <w:proofErr w:type="spellStart"/>
      <w:r w:rsidRPr="0002654B">
        <w:t>ethnoscopic</w:t>
      </w:r>
      <w:proofErr w:type="spellEnd"/>
      <w:r w:rsidRPr="0002654B">
        <w:t xml:space="preserve"> analysis prompted significant changes in my teaching approach and interactions with students at a local seminary. Join me on this journey as I explore improved ways for my students to learn and enjoy class more.</w:t>
      </w:r>
    </w:p>
    <w:p w14:paraId="0000000A" w14:textId="56419DE5" w:rsidR="00961A82" w:rsidRDefault="00673D43" w:rsidP="00295D0E">
      <w:pPr>
        <w:pStyle w:val="Normal1"/>
      </w:pPr>
      <w:r>
        <w:rPr>
          <w:b/>
        </w:rPr>
        <w:t xml:space="preserve">Key Words: </w:t>
      </w:r>
      <w:r w:rsidR="0002654B">
        <w:t>mission, o</w:t>
      </w:r>
      <w:r w:rsidR="00DD2188" w:rsidRPr="00DD2188">
        <w:t>rality, pedagogy, theological education</w:t>
      </w:r>
    </w:p>
    <w:p w14:paraId="0000000C" w14:textId="77777777" w:rsidR="00961A82" w:rsidRDefault="00673D43" w:rsidP="00295D0E">
      <w:pPr>
        <w:pStyle w:val="Heading1"/>
      </w:pPr>
      <w:r>
        <w:t>Introduction</w:t>
      </w:r>
    </w:p>
    <w:p w14:paraId="4DBD2B03" w14:textId="7AE2B4AB" w:rsidR="00DD2188" w:rsidRDefault="00114EAC" w:rsidP="00295D0E">
      <w:pPr>
        <w:pStyle w:val="Normal1"/>
      </w:pPr>
      <w:r>
        <w:t xml:space="preserve">Since 2018, I </w:t>
      </w:r>
      <w:r w:rsidR="009A342D">
        <w:t>have taught</w:t>
      </w:r>
      <w:r>
        <w:t xml:space="preserve"> </w:t>
      </w:r>
      <w:r w:rsidRPr="00114EAC">
        <w:t>at a local seminary where I noticed students grappling with a curriculum</w:t>
      </w:r>
      <w:r>
        <w:t xml:space="preserve"> </w:t>
      </w:r>
      <w:r w:rsidRPr="00114EAC">
        <w:t>akin to my educational experience in Germany.</w:t>
      </w:r>
      <w:r>
        <w:t xml:space="preserve"> I </w:t>
      </w:r>
      <w:r w:rsidR="009A342D">
        <w:t>have been</w:t>
      </w:r>
      <w:r>
        <w:t xml:space="preserve"> trying to contextualize since </w:t>
      </w:r>
      <w:r w:rsidR="009A342D">
        <w:t>I arrived</w:t>
      </w:r>
      <w:r>
        <w:t xml:space="preserve"> in the Philippines </w:t>
      </w:r>
      <w:r w:rsidR="009A342D">
        <w:t xml:space="preserve">in </w:t>
      </w:r>
      <w:r>
        <w:t>2007</w:t>
      </w:r>
      <w:r w:rsidR="009A342D">
        <w:t xml:space="preserve">. However, </w:t>
      </w:r>
      <w:r w:rsidR="00DD2188" w:rsidRPr="00DD2188">
        <w:t>the seminary strongly emphasize</w:t>
      </w:r>
      <w:r w:rsidR="009A342D">
        <w:t>s</w:t>
      </w:r>
      <w:r w:rsidR="00DD2188" w:rsidRPr="00DD2188">
        <w:t xml:space="preserve"> the Western educational system, training its students to adopt a Western way of teaching</w:t>
      </w:r>
      <w:r w:rsidR="009A342D">
        <w:t>, thinking,</w:t>
      </w:r>
      <w:r>
        <w:t xml:space="preserve"> and using </w:t>
      </w:r>
      <w:r w:rsidR="009A342D">
        <w:t>English</w:t>
      </w:r>
      <w:r w:rsidR="00DD2188" w:rsidRPr="00DD2188">
        <w:t>.</w:t>
      </w:r>
    </w:p>
    <w:p w14:paraId="00000015" w14:textId="5EB93753" w:rsidR="00961A82" w:rsidRPr="00DD2188" w:rsidRDefault="00DD2188" w:rsidP="00295D0E">
      <w:pPr>
        <w:pStyle w:val="Normal2"/>
      </w:pPr>
      <w:r w:rsidRPr="00DD2188">
        <w:t xml:space="preserve">My students are not illiterate, but their comprehension of print-text is deficient, as they remain oral learners. </w:t>
      </w:r>
      <w:r w:rsidR="009A342D">
        <w:t>I take you along in this article</w:t>
      </w:r>
      <w:r w:rsidR="00114EAC">
        <w:t xml:space="preserve"> as I explore how</w:t>
      </w:r>
      <w:r w:rsidRPr="00DD2188">
        <w:t xml:space="preserve"> theological education </w:t>
      </w:r>
      <w:r w:rsidR="00C45F55">
        <w:t>can become</w:t>
      </w:r>
      <w:r w:rsidR="00114EAC">
        <w:t xml:space="preserve"> </w:t>
      </w:r>
      <w:r w:rsidRPr="00DD2188">
        <w:t>more engaging and effective for my students</w:t>
      </w:r>
      <w:r w:rsidR="00A56163">
        <w:t>.</w:t>
      </w:r>
      <w:r w:rsidR="00114EAC">
        <w:t xml:space="preserve"> I will </w:t>
      </w:r>
      <w:proofErr w:type="gramStart"/>
      <w:r w:rsidR="00114EAC">
        <w:t>look into</w:t>
      </w:r>
      <w:proofErr w:type="gramEnd"/>
      <w:r w:rsidR="00114EAC">
        <w:t xml:space="preserve"> cultural, </w:t>
      </w:r>
      <w:r w:rsidR="00695139">
        <w:t xml:space="preserve">scriptural, missiological, and pedagogical factors. </w:t>
      </w:r>
      <w:r w:rsidRPr="00DD2188">
        <w:t>Thigpen</w:t>
      </w:r>
      <w:r w:rsidR="00695139">
        <w:t xml:space="preserve"> </w:t>
      </w:r>
      <w:r w:rsidR="00E6482B" w:rsidRPr="00E6482B">
        <w:t>(2023)</w:t>
      </w:r>
      <w:r w:rsidRPr="00DD2188">
        <w:t xml:space="preserve"> </w:t>
      </w:r>
      <w:r w:rsidR="00695139">
        <w:t xml:space="preserve">calls </w:t>
      </w:r>
      <w:r w:rsidRPr="00DD2188">
        <w:t>this four-step approach “</w:t>
      </w:r>
      <w:proofErr w:type="spellStart"/>
      <w:r w:rsidRPr="00DD2188">
        <w:t>ethnoscopic</w:t>
      </w:r>
      <w:proofErr w:type="spellEnd"/>
      <w:r w:rsidRPr="00DD2188">
        <w:t xml:space="preserve"> analysis” </w:t>
      </w:r>
      <w:r w:rsidR="00695139" w:rsidRPr="00695139">
        <w:t>(30)</w:t>
      </w:r>
      <w:r w:rsidRPr="00DD2188">
        <w:t>.</w:t>
      </w:r>
    </w:p>
    <w:p w14:paraId="18B6D827" w14:textId="4E37E55E" w:rsidR="00DD2188" w:rsidRDefault="00DD2188" w:rsidP="00295D0E">
      <w:pPr>
        <w:pStyle w:val="Heading1"/>
      </w:pPr>
      <w:bookmarkStart w:id="0" w:name="_Toc150509003"/>
      <w:r>
        <w:t>Education in the Philippines (Cultural Lens)</w:t>
      </w:r>
      <w:bookmarkEnd w:id="0"/>
    </w:p>
    <w:p w14:paraId="36F88053" w14:textId="028C4C6A" w:rsidR="00DD2188" w:rsidRDefault="00C45F55" w:rsidP="00295D0E">
      <w:pPr>
        <w:pStyle w:val="Normal1"/>
      </w:pPr>
      <w:r>
        <w:t>Filipinos highly value th</w:t>
      </w:r>
      <w:r w:rsidR="009A342D">
        <w:t>eir children learning</w:t>
      </w:r>
      <w:r>
        <w:t xml:space="preserve"> English</w:t>
      </w:r>
      <w:r w:rsidR="009A342D">
        <w:t>,</w:t>
      </w:r>
      <w:r>
        <w:t xml:space="preserve"> as I can attest from </w:t>
      </w:r>
      <w:r w:rsidR="00EF2E4F">
        <w:t>having</w:t>
      </w:r>
      <w:r>
        <w:t xml:space="preserve"> two children in a Philippine school.</w:t>
      </w:r>
      <w:r w:rsidR="00EF2E4F">
        <w:t xml:space="preserve"> As </w:t>
      </w:r>
      <w:r w:rsidR="00EF2E4F" w:rsidRPr="00EF2E4F">
        <w:t xml:space="preserve">English </w:t>
      </w:r>
      <w:r w:rsidR="00EF2E4F">
        <w:t>i</w:t>
      </w:r>
      <w:r w:rsidR="00EF2E4F" w:rsidRPr="00EF2E4F">
        <w:t>s the language of well-educated, successful individuals</w:t>
      </w:r>
      <w:r w:rsidR="00DD2188">
        <w:t xml:space="preserve"> </w:t>
      </w:r>
      <w:r w:rsidR="009A342D" w:rsidRPr="009A342D">
        <w:t>(Box 2014, Chapter Perception of Literacy by Oral Societies, para. 1)</w:t>
      </w:r>
      <w:r w:rsidR="00EF2E4F" w:rsidRPr="00EF2E4F">
        <w:t xml:space="preserve">, a considerable portion of </w:t>
      </w:r>
      <w:r w:rsidR="00EF2E4F">
        <w:t xml:space="preserve">our </w:t>
      </w:r>
      <w:r w:rsidR="00EF2E4F" w:rsidRPr="00EF2E4F">
        <w:t xml:space="preserve">curriculum </w:t>
      </w:r>
      <w:r w:rsidR="00845D8D">
        <w:t xml:space="preserve">is </w:t>
      </w:r>
      <w:r w:rsidR="00EF2E4F" w:rsidRPr="00EF2E4F">
        <w:t>devoted to instructing students from rural areas in proper English.</w:t>
      </w:r>
      <w:r w:rsidR="00282863">
        <w:t xml:space="preserve"> </w:t>
      </w:r>
      <w:r w:rsidR="00DD2188">
        <w:t>I agree that “</w:t>
      </w:r>
      <w:r w:rsidR="00DD2188" w:rsidRPr="003D7D97">
        <w:t>English is becoming the lingua franca of Christianity in the twenty-first century</w:t>
      </w:r>
      <w:r w:rsidR="00DD2188">
        <w:t xml:space="preserve">” </w:t>
      </w:r>
      <w:r w:rsidR="00DD2188" w:rsidRPr="003D7D97">
        <w:t>(Dörnyei 2009, 156)</w:t>
      </w:r>
      <w:r w:rsidR="00DD2188">
        <w:t xml:space="preserve">. English is so ubiquitous in theological education in the Philippines that some see a need to add “theological English” to the curriculum </w:t>
      </w:r>
      <w:r w:rsidR="00DD2188" w:rsidRPr="00023F4F">
        <w:t>(Gaston-</w:t>
      </w:r>
      <w:proofErr w:type="spellStart"/>
      <w:r w:rsidR="00DD2188" w:rsidRPr="00023F4F">
        <w:t>Dousel</w:t>
      </w:r>
      <w:proofErr w:type="spellEnd"/>
      <w:r w:rsidR="00DD2188" w:rsidRPr="00023F4F">
        <w:t xml:space="preserve"> 2011, 65)</w:t>
      </w:r>
      <w:r w:rsidR="00DD2188">
        <w:t>.</w:t>
      </w:r>
      <w:r w:rsidR="00C708FB">
        <w:t xml:space="preserve"> </w:t>
      </w:r>
      <w:r w:rsidR="00C708FB" w:rsidRPr="00C708FB">
        <w:t>While acknowledg</w:t>
      </w:r>
      <w:r w:rsidR="00CE109D">
        <w:t>ing</w:t>
      </w:r>
      <w:r w:rsidR="00C708FB" w:rsidRPr="00C708FB">
        <w:t xml:space="preserve"> the benefits of using English, </w:t>
      </w:r>
      <w:r w:rsidR="00CE109D">
        <w:t xml:space="preserve">I also see how </w:t>
      </w:r>
      <w:r w:rsidR="00C708FB" w:rsidRPr="00C708FB">
        <w:t>it poses a challenge for most of my students.</w:t>
      </w:r>
    </w:p>
    <w:p w14:paraId="4C2A19FC" w14:textId="4722EE93" w:rsidR="00DD2188" w:rsidRDefault="00DD2188" w:rsidP="00295D0E">
      <w:pPr>
        <w:pStyle w:val="Normal2"/>
      </w:pPr>
      <w:r>
        <w:t xml:space="preserve">Oral learners start with real-life problems, or as Ong </w:t>
      </w:r>
      <w:r w:rsidRPr="0047342C">
        <w:t>(2002)</w:t>
      </w:r>
      <w:r>
        <w:t xml:space="preserve"> </w:t>
      </w:r>
      <w:r w:rsidR="00CE109D">
        <w:t>put</w:t>
      </w:r>
      <w:r>
        <w:t xml:space="preserve">s it, “Close to human to the lifeworld” </w:t>
      </w:r>
      <w:r w:rsidRPr="0047342C">
        <w:t>(42–43)</w:t>
      </w:r>
      <w:r>
        <w:t>.</w:t>
      </w:r>
      <w:r w:rsidR="00046441">
        <w:t xml:space="preserve"> </w:t>
      </w:r>
      <w:r>
        <w:t xml:space="preserve">Kolb’s </w:t>
      </w:r>
      <w:r w:rsidRPr="0073700F">
        <w:t>(1984)</w:t>
      </w:r>
      <w:r>
        <w:t xml:space="preserve"> </w:t>
      </w:r>
      <w:r w:rsidRPr="007257F4">
        <w:t>experimental learning theory</w:t>
      </w:r>
      <w:r>
        <w:t xml:space="preserve"> is </w:t>
      </w:r>
      <w:r w:rsidR="00845D8D">
        <w:t>integral to</w:t>
      </w:r>
      <w:r>
        <w:t xml:space="preserve"> the Philippines curriculum </w:t>
      </w:r>
      <w:r w:rsidR="00046441" w:rsidRPr="00046441">
        <w:t>(Corpuz &amp; Salandanan 2015, 198)</w:t>
      </w:r>
      <w:r>
        <w:t xml:space="preserve">. When theory is not separated from praxis, learning becomes “truly effective” </w:t>
      </w:r>
      <w:r w:rsidRPr="00234651">
        <w:t>(Johnson 2017, 47)</w:t>
      </w:r>
      <w:r>
        <w:t xml:space="preserve">. </w:t>
      </w:r>
      <w:r w:rsidR="00CE109D">
        <w:t>Connecting theory and praxis</w:t>
      </w:r>
      <w:r w:rsidR="00046441" w:rsidRPr="00046441">
        <w:t xml:space="preserve"> fits Filipinos</w:t>
      </w:r>
      <w:r w:rsidR="00046441">
        <w:t>’</w:t>
      </w:r>
      <w:r w:rsidR="00046441" w:rsidRPr="00046441">
        <w:t xml:space="preserve"> learning preferences, but in </w:t>
      </w:r>
      <w:proofErr w:type="gramStart"/>
      <w:r w:rsidR="00046441">
        <w:t>reality</w:t>
      </w:r>
      <w:proofErr w:type="gramEnd"/>
      <w:r w:rsidR="00046441" w:rsidRPr="00046441">
        <w:t xml:space="preserve"> practical aspects of experiential learning fall short.</w:t>
      </w:r>
      <w:r w:rsidR="00046441">
        <w:t xml:space="preserve"> Instead, the focus is on </w:t>
      </w:r>
      <w:r>
        <w:t xml:space="preserve">input rather than the output or competencies of the students </w:t>
      </w:r>
      <w:r w:rsidRPr="005B69D0">
        <w:t>(Wiggins &amp; McTighe 2005, 15)</w:t>
      </w:r>
      <w:r>
        <w:t xml:space="preserve">. </w:t>
      </w:r>
      <w:r w:rsidR="00CE109D">
        <w:t xml:space="preserve">The taxonomy of </w:t>
      </w:r>
      <w:r w:rsidR="00544DB4">
        <w:t>B</w:t>
      </w:r>
      <w:r w:rsidR="004303C0">
        <w:t>l</w:t>
      </w:r>
      <w:r w:rsidR="00544DB4">
        <w:t xml:space="preserve">oom et al. </w:t>
      </w:r>
      <w:r w:rsidR="00544DB4" w:rsidRPr="00694054">
        <w:t>(1956)</w:t>
      </w:r>
      <w:r w:rsidR="00544DB4">
        <w:t xml:space="preserve"> is used to guide teacher’s accessing their student’s learning achievements throughout the Philippines </w:t>
      </w:r>
      <w:r w:rsidR="00544DB4" w:rsidRPr="0073700F">
        <w:t>(Bilbao et al. 2015, 75–80)</w:t>
      </w:r>
      <w:r w:rsidR="00544DB4">
        <w:t>. Teachers are encouraged to be “focused on higher-order thinking questions”</w:t>
      </w:r>
      <w:r w:rsidR="00DC5D97">
        <w:t>;</w:t>
      </w:r>
      <w:r w:rsidR="00544DB4">
        <w:t xml:space="preserve"> however, a recent study revealed that multiple </w:t>
      </w:r>
      <w:r w:rsidR="00544DB4">
        <w:lastRenderedPageBreak/>
        <w:t xml:space="preserve">choice is the most used evaluation tool by teachers, showing that in praxis lower-order thinking questions are prioritized </w:t>
      </w:r>
      <w:r w:rsidR="00544DB4" w:rsidRPr="003C10F2">
        <w:t>(Mohammad et al. 2023)</w:t>
      </w:r>
      <w:r w:rsidR="00544DB4">
        <w:t>.</w:t>
      </w:r>
    </w:p>
    <w:p w14:paraId="0195155C" w14:textId="45A1133C" w:rsidR="00DD2188" w:rsidRDefault="00DD2188" w:rsidP="00295D0E">
      <w:pPr>
        <w:pStyle w:val="Normal2"/>
      </w:pPr>
      <w:r>
        <w:t xml:space="preserve">Lingenfelter </w:t>
      </w:r>
      <w:r w:rsidRPr="00401CFC">
        <w:t>(2001)</w:t>
      </w:r>
      <w:r w:rsidR="005F45D7">
        <w:t xml:space="preserve"> rightfully points out that contextualization is not applied to </w:t>
      </w:r>
      <w:r>
        <w:t xml:space="preserve">theological education </w:t>
      </w:r>
      <w:r w:rsidRPr="00401CFC">
        <w:t>(449–450)</w:t>
      </w:r>
      <w:r>
        <w:t xml:space="preserve">. </w:t>
      </w:r>
      <w:r w:rsidRPr="00A213F1">
        <w:t xml:space="preserve">Western </w:t>
      </w:r>
      <w:r>
        <w:t xml:space="preserve">theological education is </w:t>
      </w:r>
      <w:r w:rsidR="00845D8D">
        <w:t>often embraced by local leaders and seen as authoritativ</w:t>
      </w:r>
      <w:r w:rsidR="00C871BD">
        <w:t xml:space="preserve">e </w:t>
      </w:r>
      <w:r w:rsidR="00C871BD" w:rsidRPr="00C871BD">
        <w:t>(Mercado 2002, 302)</w:t>
      </w:r>
      <w:r>
        <w:t xml:space="preserve">. Non-Western seminary students have come to expect Western ways of doing theology </w:t>
      </w:r>
      <w:r w:rsidRPr="00C23D7B">
        <w:t>(cf. Bird &amp; Dale 2022, 274)</w:t>
      </w:r>
      <w:r>
        <w:t>.</w:t>
      </w:r>
      <w:r w:rsidR="00544DB4">
        <w:t xml:space="preserve"> </w:t>
      </w:r>
      <w:r w:rsidRPr="001048C9">
        <w:t>“Global institutions function as if oral communicators were not the majority, as if reading were the norm”</w:t>
      </w:r>
      <w:r>
        <w:t xml:space="preserve"> </w:t>
      </w:r>
      <w:r w:rsidRPr="0009064B">
        <w:t>(Thigpen 2022, 4)</w:t>
      </w:r>
      <w:r>
        <w:t xml:space="preserve">. “Local trainers may have trained elsewhere and when they return to their local area, forget their old ways and use the foreign ways they were trained in” </w:t>
      </w:r>
      <w:r w:rsidRPr="00A34048">
        <w:t>(Bird &amp; Dale 2022, 283)</w:t>
      </w:r>
      <w:r>
        <w:t xml:space="preserve">. When I see my students or talk to students from other seminaries, I too often feel that they are being educated away from their congregations. Madinger </w:t>
      </w:r>
      <w:r w:rsidRPr="0073700F">
        <w:t>(2017</w:t>
      </w:r>
      <w:r w:rsidR="00DC5D97">
        <w:t>;</w:t>
      </w:r>
      <w:r w:rsidRPr="0073700F">
        <w:t xml:space="preserve"> 2022)</w:t>
      </w:r>
      <w:r>
        <w:t xml:space="preserve"> calls this </w:t>
      </w:r>
      <w:r w:rsidR="00DC5D97">
        <w:t xml:space="preserve">phenomenon </w:t>
      </w:r>
      <w:r>
        <w:t xml:space="preserve">the </w:t>
      </w:r>
      <w:r w:rsidRPr="001231C5">
        <w:rPr>
          <w:i/>
          <w:iCs/>
        </w:rPr>
        <w:t>Orality Gap</w:t>
      </w:r>
      <w:r>
        <w:t xml:space="preserve"> (OG) </w:t>
      </w:r>
      <w:r w:rsidRPr="0073700F">
        <w:t>(55–56, 51–52)</w:t>
      </w:r>
      <w:r w:rsidRPr="00405BA0">
        <w:t>.</w:t>
      </w:r>
    </w:p>
    <w:p w14:paraId="35EB52E9" w14:textId="07552C44" w:rsidR="008E7D99" w:rsidRDefault="008E7D99" w:rsidP="00295D0E">
      <w:pPr>
        <w:pStyle w:val="Heading1"/>
      </w:pPr>
      <w:bookmarkStart w:id="1" w:name="_Toc150509007"/>
      <w:r>
        <w:t>Jesus, the Master Teacher (Scriptural Lens)</w:t>
      </w:r>
      <w:bookmarkEnd w:id="1"/>
    </w:p>
    <w:p w14:paraId="5662E4FF" w14:textId="74F8BF47" w:rsidR="00971441" w:rsidRDefault="008E7D99" w:rsidP="00295D0E">
      <w:pPr>
        <w:pStyle w:val="Normal1"/>
      </w:pPr>
      <w:r w:rsidRPr="000A5663">
        <w:t xml:space="preserve">The Bible offers numerous </w:t>
      </w:r>
      <w:r w:rsidR="00845D8D">
        <w:t>teaching examples</w:t>
      </w:r>
      <w:r w:rsidR="00175339" w:rsidRPr="000A5663">
        <w:t>,</w:t>
      </w:r>
      <w:r w:rsidR="00175339">
        <w:t xml:space="preserve"> but I will only briefly touch on some methods Jesus used</w:t>
      </w:r>
      <w:r w:rsidR="00971441">
        <w:t>. He spoke in ordinary language</w:t>
      </w:r>
      <w:r w:rsidR="00DC5D97">
        <w:t>,</w:t>
      </w:r>
      <w:r w:rsidR="00971441">
        <w:t xml:space="preserve"> </w:t>
      </w:r>
      <w:r w:rsidR="00845D8D">
        <w:t>employ</w:t>
      </w:r>
      <w:r w:rsidR="00971441">
        <w:t>ed close</w:t>
      </w:r>
      <w:r w:rsidR="00845D8D">
        <w:t>-to-</w:t>
      </w:r>
      <w:r w:rsidR="00971441">
        <w:t xml:space="preserve">life stories, questions, </w:t>
      </w:r>
      <w:r w:rsidR="00DC5D97">
        <w:t xml:space="preserve">and </w:t>
      </w:r>
      <w:r w:rsidR="00971441">
        <w:t>repetition</w:t>
      </w:r>
      <w:r w:rsidR="00DC5D97">
        <w:t>,</w:t>
      </w:r>
      <w:r w:rsidR="00971441">
        <w:t xml:space="preserve"> and focused on execution.</w:t>
      </w:r>
    </w:p>
    <w:p w14:paraId="47DE4A1B" w14:textId="5A99D91A" w:rsidR="008E7D99" w:rsidRDefault="008E7D99" w:rsidP="00295D0E">
      <w:pPr>
        <w:pStyle w:val="Normal2"/>
      </w:pPr>
      <w:r>
        <w:t>The New Testament was written in Greek, the lingua franca of the Eastern Mediterranean of the time</w:t>
      </w:r>
      <w:r w:rsidR="00845D8D">
        <w:t>. H</w:t>
      </w:r>
      <w:r w:rsidRPr="007257F4">
        <w:t>owever, Jesus spoke Aramaic, the language of the ordinary people</w:t>
      </w:r>
      <w:r w:rsidR="00B531FC">
        <w:t xml:space="preserve">, as evident in Mk. 5:41 and </w:t>
      </w:r>
      <w:r w:rsidR="00B531FC" w:rsidRPr="00206610">
        <w:t>Mt</w:t>
      </w:r>
      <w:r w:rsidR="00B531FC">
        <w:t>.</w:t>
      </w:r>
      <w:r w:rsidR="00B531FC" w:rsidRPr="00206610">
        <w:t xml:space="preserve"> 27:46</w:t>
      </w:r>
      <w:r w:rsidRPr="00206610">
        <w:t>.</w:t>
      </w:r>
      <w:r w:rsidR="008C60B4">
        <w:t xml:space="preserve"> Jesus was also aware of the literacy level of his audience. When </w:t>
      </w:r>
      <w:r w:rsidRPr="000A4C85">
        <w:t>quot</w:t>
      </w:r>
      <w:r w:rsidR="008C60B4">
        <w:t>ing</w:t>
      </w:r>
      <w:r w:rsidRPr="000A4C85">
        <w:t xml:space="preserve"> the Old Testament</w:t>
      </w:r>
      <w:r>
        <w:t xml:space="preserve"> </w:t>
      </w:r>
      <w:r w:rsidRPr="000A4C85">
        <w:t>to ordinary people</w:t>
      </w:r>
      <w:r w:rsidR="008C60B4">
        <w:t xml:space="preserve">, </w:t>
      </w:r>
      <w:r w:rsidRPr="000A4C85">
        <w:t>he consistently beg</w:t>
      </w:r>
      <w:r>
        <w:t>an</w:t>
      </w:r>
      <w:r w:rsidRPr="000A4C85">
        <w:t xml:space="preserve"> with the phrase </w:t>
      </w:r>
      <w:r>
        <w:t>“Y</w:t>
      </w:r>
      <w:r w:rsidRPr="000A4C85">
        <w:t>ou have heard that it was said</w:t>
      </w:r>
      <w:r>
        <w:t>…”</w:t>
      </w:r>
      <w:r w:rsidRPr="000A4C85">
        <w:t xml:space="preserve"> (</w:t>
      </w:r>
      <w:r>
        <w:t xml:space="preserve">Mt. </w:t>
      </w:r>
      <w:r w:rsidRPr="000A4C85">
        <w:t>4:14</w:t>
      </w:r>
      <w:r>
        <w:t>;</w:t>
      </w:r>
      <w:r w:rsidRPr="000A4C85">
        <w:t xml:space="preserve"> 5:21, 27, 31, 33, 38, 43</w:t>
      </w:r>
      <w:r>
        <w:t>;</w:t>
      </w:r>
      <w:r w:rsidRPr="000A4C85">
        <w:t xml:space="preserve"> 8:17</w:t>
      </w:r>
      <w:r>
        <w:t>;</w:t>
      </w:r>
      <w:r w:rsidRPr="000A4C85">
        <w:t xml:space="preserve"> 12:17</w:t>
      </w:r>
      <w:r>
        <w:t>;</w:t>
      </w:r>
      <w:r w:rsidRPr="000A4C85">
        <w:t xml:space="preserve"> 13:35</w:t>
      </w:r>
      <w:r>
        <w:t>;</w:t>
      </w:r>
      <w:r w:rsidRPr="000A4C85">
        <w:t xml:space="preserve"> 21:4</w:t>
      </w:r>
      <w:r>
        <w:t>;</w:t>
      </w:r>
      <w:r w:rsidRPr="000A4C85">
        <w:t xml:space="preserve"> 27:9). In contrast, when addressing the chief priests, elders, Sadducees, </w:t>
      </w:r>
      <w:r>
        <w:t>s</w:t>
      </w:r>
      <w:r w:rsidRPr="000A4C85">
        <w:t>cribes, or Pharisees, he employ</w:t>
      </w:r>
      <w:r>
        <w:t>ed</w:t>
      </w:r>
      <w:r w:rsidRPr="000A4C85">
        <w:t xml:space="preserve"> the phrases</w:t>
      </w:r>
      <w:r>
        <w:t>,</w:t>
      </w:r>
      <w:r w:rsidRPr="000A4C85">
        <w:t xml:space="preserve"> </w:t>
      </w:r>
      <w:r>
        <w:t>“</w:t>
      </w:r>
      <w:r w:rsidRPr="000A4C85">
        <w:t>It is written</w:t>
      </w:r>
      <w:r>
        <w:t>…”</w:t>
      </w:r>
      <w:r w:rsidRPr="000A4C85">
        <w:t xml:space="preserve"> or </w:t>
      </w:r>
      <w:r>
        <w:t>“</w:t>
      </w:r>
      <w:r w:rsidRPr="000A4C85">
        <w:t>You have read</w:t>
      </w:r>
      <w:r>
        <w:t>…”</w:t>
      </w:r>
      <w:r w:rsidRPr="000A4C85">
        <w:t xml:space="preserve"> (12:3, 5, 19:4, 21:13, 16, 42, 22:31).</w:t>
      </w:r>
    </w:p>
    <w:p w14:paraId="31BEC4FF" w14:textId="55CF3AED" w:rsidR="008E7D99" w:rsidRDefault="008E7D99" w:rsidP="00295D0E">
      <w:pPr>
        <w:pStyle w:val="Normal2"/>
      </w:pPr>
      <w:r>
        <w:t>Jesus</w:t>
      </w:r>
      <w:r w:rsidR="008401D9">
        <w:t>’</w:t>
      </w:r>
      <w:r w:rsidR="00DC5D97">
        <w:t>s</w:t>
      </w:r>
      <w:r>
        <w:t xml:space="preserve"> stories related to the everyday experience of ordinary people of his time. </w:t>
      </w:r>
      <w:r w:rsidRPr="00B73760">
        <w:t>In Lk</w:t>
      </w:r>
      <w:r>
        <w:t>.</w:t>
      </w:r>
      <w:r w:rsidRPr="00B73760">
        <w:t xml:space="preserve"> 15, Jesus share</w:t>
      </w:r>
      <w:r>
        <w:t>d</w:t>
      </w:r>
      <w:r w:rsidRPr="00B73760">
        <w:t xml:space="preserve"> three stories</w:t>
      </w:r>
      <w:r w:rsidR="008401D9">
        <w:t xml:space="preserve">, </w:t>
      </w:r>
      <w:r>
        <w:t>illustrating</w:t>
      </w:r>
      <w:r w:rsidRPr="00B73760">
        <w:t xml:space="preserve"> God</w:t>
      </w:r>
      <w:r>
        <w:t>’</w:t>
      </w:r>
      <w:r w:rsidRPr="00B73760">
        <w:t xml:space="preserve">s delight when even one sinner repents. People </w:t>
      </w:r>
      <w:r w:rsidR="008401D9">
        <w:t>connected with these</w:t>
      </w:r>
      <w:r w:rsidRPr="00B73760">
        <w:t xml:space="preserve"> stories, and </w:t>
      </w:r>
      <w:r>
        <w:t>repeating the same truth in different narratives i</w:t>
      </w:r>
      <w:r w:rsidRPr="00B73760">
        <w:t>s a powerful tool for making that truth memorable.</w:t>
      </w:r>
      <w:r>
        <w:t xml:space="preserve"> Unlike plain abstract truths taught as systematic theology, the narrative engages the heart; it “</w:t>
      </w:r>
      <w:r w:rsidRPr="009E39CE">
        <w:t>involves, disturbs and challenges us and as such is to be preferred</w:t>
      </w:r>
      <w:r>
        <w:t xml:space="preserve">” </w:t>
      </w:r>
      <w:r w:rsidRPr="009E39CE">
        <w:t>(Bausch 1991, 27)</w:t>
      </w:r>
      <w:r>
        <w:t>.</w:t>
      </w:r>
    </w:p>
    <w:p w14:paraId="7E9836FC" w14:textId="05CEF7A4" w:rsidR="008E7D99" w:rsidRDefault="008E7D99" w:rsidP="00295D0E">
      <w:pPr>
        <w:pStyle w:val="Normal2"/>
      </w:pPr>
      <w:r>
        <w:t>When Jesus’</w:t>
      </w:r>
      <w:r w:rsidR="00DC5D97">
        <w:t>s</w:t>
      </w:r>
      <w:r>
        <w:t xml:space="preserve"> parents found him in the temple after a </w:t>
      </w:r>
      <w:r w:rsidR="00DC5D97">
        <w:t>three</w:t>
      </w:r>
      <w:r>
        <w:t xml:space="preserve">-day search, he was </w:t>
      </w:r>
      <w:r w:rsidR="008401D9">
        <w:t>l</w:t>
      </w:r>
      <w:r w:rsidRPr="00F578B9">
        <w:t xml:space="preserve">istening to </w:t>
      </w:r>
      <w:r>
        <w:t xml:space="preserve">the teachers </w:t>
      </w:r>
      <w:r w:rsidRPr="00F578B9">
        <w:t>and asking them questions</w:t>
      </w:r>
      <w:r>
        <w:t xml:space="preserve"> </w:t>
      </w:r>
      <w:r w:rsidR="008401D9">
        <w:t>(Lk. 2:46)</w:t>
      </w:r>
      <w:r w:rsidRPr="00F578B9">
        <w:t>.</w:t>
      </w:r>
      <w:r>
        <w:t xml:space="preserve"> Some of his questions were rhetorical (Mt. 16:26), others </w:t>
      </w:r>
      <w:r w:rsidR="008401D9">
        <w:t>responded</w:t>
      </w:r>
      <w:r>
        <w:t xml:space="preserve"> to trick questions (Mt. 21:23-27, 22:15-22), and sometimes his questions challenged his followers (Mt. 16:13-15).</w:t>
      </w:r>
    </w:p>
    <w:p w14:paraId="2DE6B1AA" w14:textId="6FFEF0F8" w:rsidR="008E7D99" w:rsidRDefault="008E7D99" w:rsidP="00295D0E">
      <w:pPr>
        <w:pStyle w:val="Normal2"/>
      </w:pPr>
      <w:r>
        <w:t xml:space="preserve">At the beginning of </w:t>
      </w:r>
      <w:r w:rsidR="00DC5D97">
        <w:t>h</w:t>
      </w:r>
      <w:r>
        <w:t>is ministry, Jesus challenged his future disciples to follow him (Mk. 1:17, 19; Jn. 1:43) and to see for themselves (Jn. 1:39, 46).</w:t>
      </w:r>
      <w:r w:rsidRPr="00842DF0">
        <w:t xml:space="preserve"> </w:t>
      </w:r>
      <w:r>
        <w:t>Jesus’</w:t>
      </w:r>
      <w:r w:rsidR="00DC5D97">
        <w:t>s</w:t>
      </w:r>
      <w:r>
        <w:t xml:space="preserve"> teaching was connected to real-life situations, </w:t>
      </w:r>
      <w:proofErr w:type="gramStart"/>
      <w:r>
        <w:t>one way</w:t>
      </w:r>
      <w:proofErr w:type="gramEnd"/>
      <w:r>
        <w:t xml:space="preserve"> oral people learn best </w:t>
      </w:r>
      <w:r w:rsidRPr="002A3EF7">
        <w:t>(Bird &amp; Dale 2022, 275; Ong 2002, 42–43)</w:t>
      </w:r>
      <w:r>
        <w:t xml:space="preserve">. He did not merely preach servanthood; he demonstrated it by humbly washing his disciples’ feet (Jn. 13:4-5). </w:t>
      </w:r>
      <w:r w:rsidRPr="0029706A">
        <w:t>“Oral learners favor learning in real-life contexts and can, in fact, learn abstract principles through this means”</w:t>
      </w:r>
      <w:r>
        <w:t xml:space="preserve"> </w:t>
      </w:r>
      <w:r w:rsidRPr="00DD29F4">
        <w:t>(Bird &amp; Dale 2022, 284)</w:t>
      </w:r>
      <w:r>
        <w:t>.</w:t>
      </w:r>
    </w:p>
    <w:p w14:paraId="4A566111" w14:textId="226F423F" w:rsidR="008E7D99" w:rsidRDefault="008E7D99" w:rsidP="00295D0E">
      <w:pPr>
        <w:pStyle w:val="Normal2"/>
      </w:pPr>
      <w:r>
        <w:t>Jesus’</w:t>
      </w:r>
      <w:r w:rsidR="00DC5D97">
        <w:t>s</w:t>
      </w:r>
      <w:r>
        <w:t xml:space="preserve"> teaching can be described as performance-based pedagogy </w:t>
      </w:r>
      <w:r w:rsidRPr="00E05639">
        <w:t>(Bird &amp; Dale 2022)</w:t>
      </w:r>
      <w:r>
        <w:t xml:space="preserve">. This instruction puts </w:t>
      </w:r>
      <w:r w:rsidR="00845D8D">
        <w:t>more</w:t>
      </w:r>
      <w:r>
        <w:t xml:space="preserve"> value on execution than knowledge </w:t>
      </w:r>
      <w:r w:rsidRPr="00E05639">
        <w:t>(274)</w:t>
      </w:r>
      <w:r>
        <w:t xml:space="preserve">. An example is his end-time </w:t>
      </w:r>
      <w:r>
        <w:lastRenderedPageBreak/>
        <w:t>speech, where Jesus clearly favors those who do what is right to those who acknowledge his lordship</w:t>
      </w:r>
      <w:r w:rsidR="00845D8D">
        <w:t xml:space="preserve"> with their lips only</w:t>
      </w:r>
      <w:r>
        <w:t xml:space="preserve"> (Mt. 25:34-46). </w:t>
      </w:r>
      <w:r w:rsidR="00971441">
        <w:t>Jesus</w:t>
      </w:r>
      <w:r>
        <w:t xml:space="preserve"> wants his followers to be doers of God’s will (Mt. 7:21).</w:t>
      </w:r>
      <w:r w:rsidR="00971441">
        <w:t xml:space="preserve"> B</w:t>
      </w:r>
      <w:r w:rsidRPr="0010214A">
        <w:t>efore his disciples fully grasped the entirety of Jesus</w:t>
      </w:r>
      <w:r>
        <w:t>’</w:t>
      </w:r>
      <w:r w:rsidR="00DC5D97">
        <w:t>s</w:t>
      </w:r>
      <w:r w:rsidRPr="0010214A">
        <w:t xml:space="preserve"> mission, he sent them out to proclaim the arrival of God</w:t>
      </w:r>
      <w:r>
        <w:t>’</w:t>
      </w:r>
      <w:r w:rsidRPr="0010214A">
        <w:t>s Kingdom. Initially, Jesus sent twelve (</w:t>
      </w:r>
      <w:r>
        <w:t>Lk.</w:t>
      </w:r>
      <w:r w:rsidRPr="0010214A">
        <w:t xml:space="preserve"> 9:1-6), </w:t>
      </w:r>
      <w:r w:rsidR="00971441">
        <w:t xml:space="preserve">then </w:t>
      </w:r>
      <w:r w:rsidR="00DC5D97">
        <w:t>72</w:t>
      </w:r>
      <w:r w:rsidR="00971441">
        <w:t xml:space="preserve"> </w:t>
      </w:r>
      <w:r w:rsidR="00971441" w:rsidRPr="0010214A">
        <w:t>disciples</w:t>
      </w:r>
      <w:r w:rsidR="00971441">
        <w:t xml:space="preserve"> </w:t>
      </w:r>
      <w:r w:rsidRPr="0010214A">
        <w:t>to nearby areas (</w:t>
      </w:r>
      <w:r>
        <w:t xml:space="preserve">Lk. </w:t>
      </w:r>
      <w:r w:rsidRPr="0010214A">
        <w:t>10:1-12). When they returned, Jesus debriefed them and connected their experiences with additional lessons (</w:t>
      </w:r>
      <w:r>
        <w:t xml:space="preserve">Lk. </w:t>
      </w:r>
      <w:r w:rsidRPr="0010214A">
        <w:t>10:17-20).</w:t>
      </w:r>
    </w:p>
    <w:p w14:paraId="67015865" w14:textId="7DDAC74E" w:rsidR="008E7D99" w:rsidRDefault="008E7D99" w:rsidP="00295D0E">
      <w:pPr>
        <w:pStyle w:val="Heading1"/>
      </w:pPr>
      <w:bookmarkStart w:id="2" w:name="_Toc150509012"/>
      <w:r>
        <w:t>Spreading the Word as it was Taught (Missiological Lens)</w:t>
      </w:r>
      <w:bookmarkEnd w:id="2"/>
    </w:p>
    <w:p w14:paraId="01308899" w14:textId="2BF3EEF9" w:rsidR="008E7D99" w:rsidRDefault="008E7D99" w:rsidP="00295D0E">
      <w:pPr>
        <w:pStyle w:val="Normal1"/>
      </w:pPr>
      <w:r>
        <w:t xml:space="preserve">As seminaries largely remain uncontextualized </w:t>
      </w:r>
      <w:r w:rsidRPr="005F7B04">
        <w:t>(Lingenfelter 2001, 449–450)</w:t>
      </w:r>
      <w:r>
        <w:t xml:space="preserve">, pastors and ministers keep using Western materials that are, at best, translated into local languages to disciple new believers </w:t>
      </w:r>
      <w:r w:rsidRPr="005F7B04">
        <w:t>(Song 2006)</w:t>
      </w:r>
      <w:r>
        <w:t xml:space="preserve">. </w:t>
      </w:r>
      <w:r w:rsidRPr="005F7B04">
        <w:t>Sunquist (2017)</w:t>
      </w:r>
      <w:r>
        <w:t xml:space="preserve"> </w:t>
      </w:r>
      <w:r w:rsidRPr="005F7B04">
        <w:t xml:space="preserve">contends that the principal duty of </w:t>
      </w:r>
      <w:r>
        <w:t xml:space="preserve">theological </w:t>
      </w:r>
      <w:r w:rsidRPr="005F7B04">
        <w:t>contextualization lies with the indigenous converts themselves (258)</w:t>
      </w:r>
      <w:r>
        <w:t xml:space="preserve">. However, this is a tall order if they have been accustomed to Western theology </w:t>
      </w:r>
      <w:r w:rsidRPr="00A00EAE">
        <w:t>(de Mesa 2016, Chapter Experiencing God through the culture, paras. 1–2)</w:t>
      </w:r>
      <w:r w:rsidRPr="007257F4">
        <w:t>.</w:t>
      </w:r>
    </w:p>
    <w:p w14:paraId="3DF507EF" w14:textId="214D30F2" w:rsidR="008E7D99" w:rsidRDefault="008E7D99" w:rsidP="00295D0E">
      <w:pPr>
        <w:pStyle w:val="Normal2"/>
      </w:pPr>
      <w:r>
        <w:t xml:space="preserve">What holds true for education also extends to evangelism. I have been involved in campus ministry for over a decade and have collaborated with various ministries in the Philippines. The </w:t>
      </w:r>
      <w:proofErr w:type="gramStart"/>
      <w:r>
        <w:t>most commonly used</w:t>
      </w:r>
      <w:proofErr w:type="gramEnd"/>
      <w:r>
        <w:t xml:space="preserve"> evangelism strategies are based </w:t>
      </w:r>
      <w:r w:rsidR="00EC5DB8">
        <w:t xml:space="preserve">on </w:t>
      </w:r>
      <w:r>
        <w:t xml:space="preserve">Western materials like the </w:t>
      </w:r>
      <w:r>
        <w:rPr>
          <w:i/>
          <w:iCs/>
        </w:rPr>
        <w:t>Four</w:t>
      </w:r>
      <w:r w:rsidRPr="00AB7F40">
        <w:rPr>
          <w:i/>
          <w:iCs/>
        </w:rPr>
        <w:t xml:space="preserve"> Spiritual Laws</w:t>
      </w:r>
      <w:r>
        <w:t xml:space="preserve">, </w:t>
      </w:r>
      <w:r w:rsidRPr="00AB7F40">
        <w:rPr>
          <w:i/>
          <w:iCs/>
        </w:rPr>
        <w:t>Evangelism Explosion</w:t>
      </w:r>
      <w:r>
        <w:t xml:space="preserve">, or variations of these methods. As </w:t>
      </w:r>
      <w:r w:rsidRPr="003C37FD">
        <w:t xml:space="preserve">Filipinos tend to make decisions without having fully understood and thought through </w:t>
      </w:r>
      <w:r>
        <w:t xml:space="preserve">them </w:t>
      </w:r>
      <w:r w:rsidRPr="00324F1F">
        <w:t>(cf. Acoba &amp; Asian Theological Seminary 2005, 5–6)</w:t>
      </w:r>
      <w:r>
        <w:t>, a more obedience-oriented approach to evangelism seems more intuitive to me in this context, as a “</w:t>
      </w:r>
      <w:proofErr w:type="gramStart"/>
      <w:r>
        <w:t>sinners</w:t>
      </w:r>
      <w:proofErr w:type="gramEnd"/>
      <w:r>
        <w:t xml:space="preserve"> prayer” is not a good indicator of true repentance.</w:t>
      </w:r>
    </w:p>
    <w:p w14:paraId="7C3E380F" w14:textId="69169A49" w:rsidR="008E7D99" w:rsidRDefault="008E7D99" w:rsidP="00295D0E">
      <w:pPr>
        <w:pStyle w:val="Normal2"/>
      </w:pPr>
      <w:r>
        <w:t xml:space="preserve">Knowledge and being should not be separated </w:t>
      </w:r>
      <w:r w:rsidRPr="00EA7B04">
        <w:t>(Miller 2023)</w:t>
      </w:r>
      <w:r>
        <w:t xml:space="preserve">. </w:t>
      </w:r>
      <w:r w:rsidR="00EC5DB8">
        <w:t>D</w:t>
      </w:r>
      <w:r>
        <w:t>ifferentiatin</w:t>
      </w:r>
      <w:r w:rsidR="00EC5DB8">
        <w:t>g between them</w:t>
      </w:r>
      <w:r>
        <w:t xml:space="preserve"> can be attributed to the Enlightenment</w:t>
      </w:r>
      <w:r w:rsidR="009C3C5E">
        <w:t xml:space="preserve">. </w:t>
      </w:r>
      <w:r>
        <w:t>Our primary focus on teaching knowledge “</w:t>
      </w:r>
      <w:r w:rsidRPr="00DF2F0D">
        <w:t>has unnecessarily fragmented generations</w:t>
      </w:r>
      <w:r>
        <w:t>”</w:t>
      </w:r>
      <w:r w:rsidR="00735591">
        <w:t xml:space="preserve"> </w:t>
      </w:r>
      <w:r w:rsidR="00735591" w:rsidRPr="00735591">
        <w:t>(Johnson-Miller &amp; Espinoza 2018, 157)</w:t>
      </w:r>
      <w:r w:rsidRPr="00DF2F0D">
        <w:t>.</w:t>
      </w:r>
      <w:r>
        <w:t xml:space="preserve"> Christian education must refocus on heart transformation over intellectual information</w:t>
      </w:r>
      <w:r w:rsidR="00295D0E">
        <w:t>:</w:t>
      </w:r>
      <w:r>
        <w:t xml:space="preserve"> “</w:t>
      </w:r>
      <w:r w:rsidRPr="002065F0">
        <w:t xml:space="preserve">The whole person is generally overlooked in catechesis and other forms of formal Christian education in the </w:t>
      </w:r>
      <w:r w:rsidRPr="007257F4">
        <w:t>church”</w:t>
      </w:r>
      <w:r>
        <w:t xml:space="preserve"> </w:t>
      </w:r>
      <w:r w:rsidRPr="008A793C">
        <w:t>(166)</w:t>
      </w:r>
      <w:r>
        <w:t>.</w:t>
      </w:r>
    </w:p>
    <w:p w14:paraId="79F993C1" w14:textId="45996015" w:rsidR="008E7D99" w:rsidRDefault="008E7D99" w:rsidP="00295D0E">
      <w:pPr>
        <w:pStyle w:val="Normal2"/>
      </w:pPr>
      <w:r>
        <w:t xml:space="preserve">Having interacted with numerous Philippine sending agencies, I see a close resemblance </w:t>
      </w:r>
      <w:r w:rsidR="00845D8D">
        <w:t>to</w:t>
      </w:r>
      <w:r>
        <w:t xml:space="preserve"> their Western counterparts. Western missionaries often go as highly trained and well-funded experts</w:t>
      </w:r>
      <w:r w:rsidR="00845D8D">
        <w:t>,</w:t>
      </w:r>
      <w:r w:rsidR="003E0E0B">
        <w:t xml:space="preserve"> </w:t>
      </w:r>
      <w:r w:rsidR="00EC5DB8">
        <w:t xml:space="preserve">and that pattern </w:t>
      </w:r>
      <w:r w:rsidR="003E0E0B">
        <w:t>can be r</w:t>
      </w:r>
      <w:r w:rsidR="003E0E0B" w:rsidRPr="00845D8D">
        <w:t xml:space="preserve">eplicated </w:t>
      </w:r>
      <w:r w:rsidR="00EC5DB8">
        <w:t xml:space="preserve">only </w:t>
      </w:r>
      <w:r w:rsidR="003E0E0B" w:rsidRPr="00845D8D">
        <w:t xml:space="preserve">by </w:t>
      </w:r>
      <w:r w:rsidRPr="00845D8D">
        <w:t xml:space="preserve">rich Filipino churches. Most Filipinos abroad are </w:t>
      </w:r>
      <w:r w:rsidRPr="00845D8D">
        <w:rPr>
          <w:rStyle w:val="Italic"/>
          <w:rFonts w:ascii="Times New Roman" w:hAnsi="Times New Roman"/>
          <w:iCs/>
          <w:color w:val="auto"/>
        </w:rPr>
        <w:t>overseas Filipino workers</w:t>
      </w:r>
      <w:r w:rsidRPr="00845D8D">
        <w:t xml:space="preserve"> (OFW) employed</w:t>
      </w:r>
      <w:r>
        <w:t xml:space="preserve"> as </w:t>
      </w:r>
      <w:r w:rsidRPr="00781109">
        <w:t>household helpers, cooks, seafarers, or construction workers</w:t>
      </w:r>
      <w:r>
        <w:t xml:space="preserve">, creating vast opportunities for </w:t>
      </w:r>
      <w:r w:rsidRPr="00876719">
        <w:t>bottom-up mission</w:t>
      </w:r>
      <w:r>
        <w:t>s</w:t>
      </w:r>
      <w:r w:rsidRPr="00781109">
        <w:t xml:space="preserve"> </w:t>
      </w:r>
      <w:r w:rsidRPr="00876719">
        <w:t>(Sunquist 2017,</w:t>
      </w:r>
      <w:r w:rsidR="00295D0E">
        <w:t xml:space="preserve"> </w:t>
      </w:r>
      <w:r w:rsidRPr="00876719">
        <w:t>65)</w:t>
      </w:r>
      <w:r w:rsidRPr="00781109">
        <w:t>.</w:t>
      </w:r>
      <w:r>
        <w:t xml:space="preserve"> Western missiology does not have all the answers to this approach, leaving Filipino churches the chance to find their own theology of missions instead of relying on Western methods.</w:t>
      </w:r>
      <w:r w:rsidR="007160EC">
        <w:t xml:space="preserve"> </w:t>
      </w:r>
      <w:r w:rsidR="007160EC" w:rsidRPr="007160EC">
        <w:t>Bottom-up missions is also exemplified by Jesus, who proclaimed that he came to serve</w:t>
      </w:r>
      <w:r>
        <w:t xml:space="preserve"> </w:t>
      </w:r>
      <w:r w:rsidRPr="00781109">
        <w:t>(Mk</w:t>
      </w:r>
      <w:r>
        <w:t>.</w:t>
      </w:r>
      <w:r w:rsidRPr="00781109">
        <w:t xml:space="preserve"> 10:45)</w:t>
      </w:r>
      <w:r>
        <w:t>.</w:t>
      </w:r>
    </w:p>
    <w:p w14:paraId="4D1CF037" w14:textId="7FF0AF50" w:rsidR="008E7D99" w:rsidRDefault="008E7D99" w:rsidP="00295D0E">
      <w:pPr>
        <w:pStyle w:val="Heading1"/>
      </w:pPr>
      <w:bookmarkStart w:id="3" w:name="_Toc150509013"/>
      <w:r w:rsidRPr="00A126FC">
        <w:t xml:space="preserve">Relating </w:t>
      </w:r>
      <w:r>
        <w:t>P</w:t>
      </w:r>
      <w:r w:rsidRPr="00A126FC">
        <w:t xml:space="preserve">edagogies </w:t>
      </w:r>
      <w:r>
        <w:t>t</w:t>
      </w:r>
      <w:r w:rsidRPr="00A126FC">
        <w:t>o Jesus’</w:t>
      </w:r>
      <w:r w:rsidR="00EC5DB8">
        <w:t>s</w:t>
      </w:r>
      <w:r w:rsidRPr="00A126FC">
        <w:t xml:space="preserve"> </w:t>
      </w:r>
      <w:r>
        <w:t>W</w:t>
      </w:r>
      <w:r w:rsidRPr="00A126FC">
        <w:t xml:space="preserve">ay </w:t>
      </w:r>
      <w:r w:rsidR="001E668B">
        <w:t>o</w:t>
      </w:r>
      <w:r w:rsidRPr="00A126FC">
        <w:t xml:space="preserve">f </w:t>
      </w:r>
      <w:r>
        <w:t>T</w:t>
      </w:r>
      <w:r w:rsidRPr="00A126FC">
        <w:t>eaching</w:t>
      </w:r>
      <w:r>
        <w:t xml:space="preserve"> (Educational Lens)</w:t>
      </w:r>
      <w:bookmarkEnd w:id="3"/>
    </w:p>
    <w:p w14:paraId="301B0F0E" w14:textId="7905BF99" w:rsidR="008E7D99" w:rsidRDefault="00C90C84" w:rsidP="008F6519">
      <w:pPr>
        <w:pStyle w:val="Normal1"/>
        <w:spacing w:after="0"/>
      </w:pPr>
      <w:r>
        <w:t>What are</w:t>
      </w:r>
      <w:r w:rsidR="008E7D99">
        <w:t xml:space="preserve"> some pedagogical approaches suitable for oral learners</w:t>
      </w:r>
      <w:r>
        <w:t>?</w:t>
      </w:r>
      <w:r w:rsidR="00733E3E">
        <w:t xml:space="preserve"> The </w:t>
      </w:r>
      <w:r w:rsidR="002B132E">
        <w:t>social aspect of teaching</w:t>
      </w:r>
      <w:r w:rsidR="008E7D99">
        <w:t xml:space="preserve"> is of primary importance in the Philippines. Learning cannot be divorced from its social environment </w:t>
      </w:r>
      <w:r w:rsidR="008E7D99" w:rsidRPr="00307196">
        <w:t>(Gibbons 2020, 2803)</w:t>
      </w:r>
      <w:r w:rsidR="008E7D99">
        <w:t xml:space="preserve">, as many researchers have </w:t>
      </w:r>
      <w:r w:rsidR="008363BC">
        <w:t xml:space="preserve">confirmed </w:t>
      </w:r>
      <w:r w:rsidR="008E7D99" w:rsidRPr="006B31CD">
        <w:t>(Lave 2009, 202)</w:t>
      </w:r>
      <w:r w:rsidR="008E7D99">
        <w:t xml:space="preserve">. </w:t>
      </w:r>
      <w:proofErr w:type="spellStart"/>
      <w:r w:rsidR="008E7D99">
        <w:t>Saiyasak</w:t>
      </w:r>
      <w:proofErr w:type="spellEnd"/>
      <w:r w:rsidR="008E7D99">
        <w:t xml:space="preserve"> </w:t>
      </w:r>
      <w:r w:rsidR="008E7D99" w:rsidRPr="00391E6C">
        <w:t>(2023)</w:t>
      </w:r>
      <w:r w:rsidR="008E7D99">
        <w:t xml:space="preserve"> demonstrates that relationships are the key to effective teaching in Southeast Asia </w:t>
      </w:r>
      <w:r w:rsidR="008E7D99" w:rsidRPr="00782D4B">
        <w:t>(4-7)</w:t>
      </w:r>
      <w:r w:rsidR="00845D8D">
        <w:t>,</w:t>
      </w:r>
      <w:r w:rsidR="002B132E">
        <w:t xml:space="preserve"> where</w:t>
      </w:r>
      <w:r w:rsidR="008E7D99">
        <w:t xml:space="preserve"> “Christian teachers must build relationships with students before they can teach effectively” </w:t>
      </w:r>
      <w:r w:rsidR="008E7D99" w:rsidRPr="00497872">
        <w:t>(Lingenfelter &amp; Lingenfelter 2003, 42)</w:t>
      </w:r>
      <w:r w:rsidR="008E7D99">
        <w:t>.</w:t>
      </w:r>
      <w:r w:rsidR="0070641E">
        <w:t xml:space="preserve"> </w:t>
      </w:r>
      <w:r w:rsidR="008E7D99">
        <w:t xml:space="preserve">According to </w:t>
      </w:r>
      <w:r w:rsidR="00740D42">
        <w:t xml:space="preserve">Thigpen’s (2020) </w:t>
      </w:r>
      <w:r w:rsidR="008E7D99">
        <w:t>“</w:t>
      </w:r>
      <w:r w:rsidR="008E7D99" w:rsidRPr="007257F4">
        <w:t>Learning Quadrants</w:t>
      </w:r>
      <w:r w:rsidR="008E7D99" w:rsidRPr="00455996">
        <w:t>,</w:t>
      </w:r>
      <w:r w:rsidR="008E7D99">
        <w:t>”</w:t>
      </w:r>
      <w:r w:rsidR="003408A8">
        <w:t xml:space="preserve"> as depicted in Figure 1,</w:t>
      </w:r>
      <w:r w:rsidR="008E7D99" w:rsidRPr="00455996">
        <w:t xml:space="preserve"> </w:t>
      </w:r>
      <w:r w:rsidR="008E7D99">
        <w:t xml:space="preserve">oral learners trust in people rather than in printed text </w:t>
      </w:r>
      <w:r w:rsidR="00E6482B" w:rsidRPr="00E6482B">
        <w:t>(124)</w:t>
      </w:r>
      <w:r w:rsidR="008E7D99">
        <w:t>. For oral people, print</w:t>
      </w:r>
      <w:r w:rsidR="00845D8D">
        <w:t xml:space="preserve"> </w:t>
      </w:r>
      <w:r w:rsidR="008E7D99">
        <w:t xml:space="preserve">text reflects only the author, but communal knowledge is backed by many trusted people </w:t>
      </w:r>
      <w:r w:rsidR="008E7D99" w:rsidRPr="00307196">
        <w:lastRenderedPageBreak/>
        <w:t>(Lingenfelter &amp; Lingenfelter 2003, 38)</w:t>
      </w:r>
      <w:r w:rsidR="008E7D99">
        <w:t>. Jesus had a close relationship with his disciples as they follow</w:t>
      </w:r>
      <w:r w:rsidR="008363BC">
        <w:t>ed</w:t>
      </w:r>
      <w:r w:rsidR="008E7D99">
        <w:t xml:space="preserve"> him (Mk. 1:17, 19, Jn. 1:43) and </w:t>
      </w:r>
      <w:r w:rsidR="008363BC">
        <w:t>observed</w:t>
      </w:r>
      <w:r w:rsidR="008E7D99">
        <w:t xml:space="preserve"> his ministry (</w:t>
      </w:r>
      <w:r w:rsidR="003517CE">
        <w:t xml:space="preserve">Jn. </w:t>
      </w:r>
      <w:r w:rsidR="008E7D99">
        <w:t>1:39, 46).</w:t>
      </w:r>
    </w:p>
    <w:p w14:paraId="1053A78D" w14:textId="77777777" w:rsidR="009B009B" w:rsidRDefault="009B009B" w:rsidP="00295D0E">
      <w:pPr>
        <w:pStyle w:val="Normal1"/>
      </w:pPr>
    </w:p>
    <w:p w14:paraId="383557B4" w14:textId="77777777" w:rsidR="009B009B" w:rsidRDefault="003408A8" w:rsidP="00856408">
      <w:pPr>
        <w:pStyle w:val="Normal1"/>
        <w:jc w:val="center"/>
        <w:rPr>
          <w:sz w:val="20"/>
          <w:szCs w:val="20"/>
        </w:rPr>
      </w:pPr>
      <w:r w:rsidRPr="003408A8">
        <w:rPr>
          <w:noProof/>
        </w:rPr>
        <w:drawing>
          <wp:inline distT="0" distB="0" distL="0" distR="0" wp14:anchorId="2E5314FF" wp14:editId="0FCF3E22">
            <wp:extent cx="5943600" cy="3507740"/>
            <wp:effectExtent l="0" t="0" r="0" b="0"/>
            <wp:docPr id="65940599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405994" name=""/>
                    <pic:cNvPicPr/>
                  </pic:nvPicPr>
                  <pic:blipFill>
                    <a:blip r:embed="rId8">
                      <a:extLst>
                        <a:ext uri="{96DAC541-7B7A-43D3-8B79-37D633B846F1}">
                          <asvg:svgBlip xmlns:asvg="http://schemas.microsoft.com/office/drawing/2016/SVG/main" r:embed="rId9"/>
                        </a:ext>
                      </a:extLst>
                    </a:blip>
                    <a:stretch>
                      <a:fillRect/>
                    </a:stretch>
                  </pic:blipFill>
                  <pic:spPr>
                    <a:xfrm>
                      <a:off x="0" y="0"/>
                      <a:ext cx="5943600" cy="3507740"/>
                    </a:xfrm>
                    <a:prstGeom prst="rect">
                      <a:avLst/>
                    </a:prstGeom>
                  </pic:spPr>
                </pic:pic>
              </a:graphicData>
            </a:graphic>
          </wp:inline>
        </w:drawing>
      </w:r>
    </w:p>
    <w:p w14:paraId="73802255" w14:textId="79F0AFB5" w:rsidR="00301AD1" w:rsidRPr="003408A8" w:rsidRDefault="003408A8" w:rsidP="00856408">
      <w:pPr>
        <w:pStyle w:val="Normal1"/>
        <w:jc w:val="center"/>
        <w:rPr>
          <w:sz w:val="20"/>
          <w:szCs w:val="20"/>
        </w:rPr>
      </w:pPr>
      <w:r w:rsidRPr="003408A8">
        <w:rPr>
          <w:sz w:val="20"/>
          <w:szCs w:val="20"/>
        </w:rPr>
        <w:t xml:space="preserve">Figure 1: </w:t>
      </w:r>
      <w:r w:rsidR="00301AD1" w:rsidRPr="003408A8">
        <w:rPr>
          <w:sz w:val="20"/>
          <w:szCs w:val="20"/>
        </w:rPr>
        <w:t>Learning Quadrants</w:t>
      </w:r>
      <w:r>
        <w:rPr>
          <w:sz w:val="20"/>
          <w:szCs w:val="20"/>
        </w:rPr>
        <w:t xml:space="preserve"> </w:t>
      </w:r>
      <w:r w:rsidR="002877D4">
        <w:rPr>
          <w:sz w:val="20"/>
          <w:szCs w:val="20"/>
        </w:rPr>
        <w:t xml:space="preserve">adapted from </w:t>
      </w:r>
      <w:proofErr w:type="spellStart"/>
      <w:r w:rsidR="002877D4">
        <w:rPr>
          <w:sz w:val="20"/>
          <w:szCs w:val="20"/>
        </w:rPr>
        <w:t>Thigpem</w:t>
      </w:r>
      <w:proofErr w:type="spellEnd"/>
      <w:r w:rsidR="002877D4">
        <w:rPr>
          <w:sz w:val="20"/>
          <w:szCs w:val="20"/>
        </w:rPr>
        <w:t xml:space="preserve"> </w:t>
      </w:r>
      <w:r>
        <w:rPr>
          <w:sz w:val="20"/>
          <w:szCs w:val="20"/>
        </w:rPr>
        <w:t>(</w:t>
      </w:r>
      <w:r w:rsidRPr="003408A8">
        <w:rPr>
          <w:sz w:val="20"/>
          <w:szCs w:val="20"/>
        </w:rPr>
        <w:t>2020</w:t>
      </w:r>
      <w:r>
        <w:rPr>
          <w:sz w:val="20"/>
          <w:szCs w:val="20"/>
        </w:rPr>
        <w:t xml:space="preserve">, </w:t>
      </w:r>
      <w:r w:rsidRPr="003408A8">
        <w:rPr>
          <w:sz w:val="20"/>
          <w:szCs w:val="20"/>
        </w:rPr>
        <w:t>124)</w:t>
      </w:r>
    </w:p>
    <w:p w14:paraId="751C39B1" w14:textId="26811AEA" w:rsidR="00301AD1" w:rsidRDefault="008E7D99" w:rsidP="008F6519">
      <w:pPr>
        <w:pStyle w:val="Normal2"/>
        <w:spacing w:after="0"/>
      </w:pPr>
      <w:proofErr w:type="spellStart"/>
      <w:r>
        <w:t>Newbigin</w:t>
      </w:r>
      <w:proofErr w:type="spellEnd"/>
      <w:r>
        <w:t xml:space="preserve"> </w:t>
      </w:r>
      <w:r w:rsidRPr="0073700F">
        <w:t>(1992)</w:t>
      </w:r>
      <w:r>
        <w:t xml:space="preserve"> points to the Enlightenment as the reason for “the shift from a way of seeing truth as located in narrative, to a way of seeing truth as located in timeless, law-like statements” </w:t>
      </w:r>
      <w:r w:rsidRPr="0073700F">
        <w:t>(6)</w:t>
      </w:r>
      <w:r>
        <w:t xml:space="preserve">. </w:t>
      </w:r>
      <w:r w:rsidR="00DE2FAD">
        <w:t>Still, s</w:t>
      </w:r>
      <w:r>
        <w:t xml:space="preserve">tories are at the core of worldview formation and transformation </w:t>
      </w:r>
      <w:r w:rsidR="00E3168B" w:rsidRPr="00E3168B">
        <w:t>(Storr 2021, 51; Wesch 2018, 320–332)</w:t>
      </w:r>
      <w:r>
        <w:t>.</w:t>
      </w:r>
      <w:r w:rsidR="007E696B">
        <w:t xml:space="preserve"> </w:t>
      </w:r>
      <w:r>
        <w:t xml:space="preserve">Stories cause us to shed hormones that can make us emotionally more receptive </w:t>
      </w:r>
      <w:r w:rsidRPr="003E6DA4">
        <w:t>(Phillips 2017)</w:t>
      </w:r>
      <w:r>
        <w:t xml:space="preserve">. </w:t>
      </w:r>
      <w:r w:rsidRPr="007257F4">
        <w:t>Savage (1996)</w:t>
      </w:r>
      <w:r>
        <w:t xml:space="preserve"> introduced the </w:t>
      </w:r>
      <w:r w:rsidR="00301AD1">
        <w:t>“S</w:t>
      </w:r>
      <w:r w:rsidRPr="00301AD1">
        <w:t xml:space="preserve">tory </w:t>
      </w:r>
      <w:r w:rsidR="00301AD1">
        <w:t>L</w:t>
      </w:r>
      <w:r w:rsidRPr="00301AD1">
        <w:t xml:space="preserve">istening </w:t>
      </w:r>
      <w:r w:rsidR="00301AD1">
        <w:t>P</w:t>
      </w:r>
      <w:r w:rsidRPr="00301AD1">
        <w:t>yramid</w:t>
      </w:r>
      <w:r w:rsidR="00301AD1" w:rsidRPr="00301AD1">
        <w:t>”</w:t>
      </w:r>
      <w:r w:rsidR="00845D8D">
        <w:t>, showing</w:t>
      </w:r>
      <w:r>
        <w:t xml:space="preserve"> that through stories listener and storyteller connect </w:t>
      </w:r>
      <w:r w:rsidRPr="007257F4">
        <w:t>emotionally</w:t>
      </w:r>
      <w:r w:rsidR="007660B3">
        <w:t>,</w:t>
      </w:r>
      <w:r w:rsidR="002628AC">
        <w:t xml:space="preserve"> as shown in Figure 2</w:t>
      </w:r>
      <w:r>
        <w:t xml:space="preserve">. Stories connect the narrator with the audience on a brain-to-brain level </w:t>
      </w:r>
      <w:r w:rsidRPr="0073700F">
        <w:t>(Silbert et al. 2014)</w:t>
      </w:r>
      <w:r>
        <w:t xml:space="preserve">. The relationship between the storyteller and the listener is vital for accepting the message </w:t>
      </w:r>
      <w:r w:rsidRPr="0073700F">
        <w:t>(Mburu 2019, 108)</w:t>
      </w:r>
      <w:r>
        <w:t>.</w:t>
      </w:r>
    </w:p>
    <w:p w14:paraId="0D29F8E5" w14:textId="77777777" w:rsidR="00BC4676" w:rsidRDefault="00BC4676" w:rsidP="008F6519">
      <w:pPr>
        <w:pStyle w:val="Normal2"/>
        <w:ind w:firstLine="0"/>
      </w:pPr>
    </w:p>
    <w:p w14:paraId="7E4494A6" w14:textId="77777777" w:rsidR="00BC4676" w:rsidRDefault="003408A8" w:rsidP="0053779B">
      <w:pPr>
        <w:pStyle w:val="Normal1"/>
        <w:jc w:val="center"/>
        <w:rPr>
          <w:rStyle w:val="Normal1Char"/>
          <w:sz w:val="20"/>
          <w:szCs w:val="20"/>
        </w:rPr>
      </w:pPr>
      <w:r w:rsidRPr="003408A8">
        <w:rPr>
          <w:noProof/>
        </w:rPr>
        <w:lastRenderedPageBreak/>
        <w:drawing>
          <wp:inline distT="0" distB="0" distL="0" distR="0" wp14:anchorId="786492D5" wp14:editId="4561E672">
            <wp:extent cx="5943600" cy="3343275"/>
            <wp:effectExtent l="0" t="0" r="0" b="9525"/>
            <wp:docPr id="176504430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044309"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943600" cy="3343275"/>
                    </a:xfrm>
                    <a:prstGeom prst="rect">
                      <a:avLst/>
                    </a:prstGeom>
                  </pic:spPr>
                </pic:pic>
              </a:graphicData>
            </a:graphic>
          </wp:inline>
        </w:drawing>
      </w:r>
    </w:p>
    <w:p w14:paraId="634C7006" w14:textId="2191B86E" w:rsidR="00301AD1" w:rsidRDefault="003408A8" w:rsidP="0053779B">
      <w:pPr>
        <w:pStyle w:val="Normal1"/>
        <w:jc w:val="center"/>
      </w:pPr>
      <w:r w:rsidRPr="003408A8">
        <w:rPr>
          <w:rStyle w:val="Normal1Char"/>
          <w:sz w:val="20"/>
          <w:szCs w:val="20"/>
        </w:rPr>
        <w:t xml:space="preserve">Figure 2: </w:t>
      </w:r>
      <w:r w:rsidR="00301AD1" w:rsidRPr="003408A8">
        <w:rPr>
          <w:rStyle w:val="Normal1Char"/>
          <w:sz w:val="20"/>
          <w:szCs w:val="20"/>
        </w:rPr>
        <w:t>Story Listening Pyramid</w:t>
      </w:r>
      <w:r w:rsidR="002877D4">
        <w:rPr>
          <w:rStyle w:val="Normal1Char"/>
          <w:sz w:val="20"/>
          <w:szCs w:val="20"/>
        </w:rPr>
        <w:t xml:space="preserve"> adapted from Madinger (2022, 84)</w:t>
      </w:r>
    </w:p>
    <w:p w14:paraId="16E472FF" w14:textId="3C8131A5" w:rsidR="008E7D99" w:rsidRDefault="008E7D99" w:rsidP="008F6519">
      <w:pPr>
        <w:pStyle w:val="Normal2"/>
        <w:spacing w:after="0"/>
      </w:pPr>
      <w:r>
        <w:t xml:space="preserve">It was Bruner </w:t>
      </w:r>
      <w:r w:rsidRPr="0073700F">
        <w:t>(1960)</w:t>
      </w:r>
      <w:r>
        <w:t xml:space="preserve"> who suggested that students revisit the same topic year after year, building on the previous knowledge, calling it the “</w:t>
      </w:r>
      <w:r w:rsidR="008363BC">
        <w:t>S</w:t>
      </w:r>
      <w:r>
        <w:t xml:space="preserve">piral </w:t>
      </w:r>
      <w:r w:rsidR="008363BC">
        <w:t>C</w:t>
      </w:r>
      <w:r>
        <w:t xml:space="preserve">urriculum” </w:t>
      </w:r>
      <w:r w:rsidRPr="0073700F">
        <w:t>(13)</w:t>
      </w:r>
      <w:r w:rsidR="007660B3">
        <w:t>,</w:t>
      </w:r>
      <w:r w:rsidR="00856408">
        <w:t xml:space="preserve"> as </w:t>
      </w:r>
      <w:r w:rsidR="00186A7C">
        <w:t xml:space="preserve">seen </w:t>
      </w:r>
      <w:r w:rsidR="007660B3">
        <w:t>i</w:t>
      </w:r>
      <w:r w:rsidR="00186A7C">
        <w:t>n</w:t>
      </w:r>
      <w:r w:rsidR="00856408">
        <w:t xml:space="preserve"> Figure 3</w:t>
      </w:r>
      <w:r w:rsidR="00186A7C">
        <w:t xml:space="preserve"> below</w:t>
      </w:r>
      <w:r>
        <w:t>. This way of thinking suits oral learners as they start from the general, narrowing it down to the specific</w:t>
      </w:r>
      <w:r w:rsidRPr="007876A6">
        <w:t xml:space="preserve"> </w:t>
      </w:r>
      <w:r w:rsidR="00C82A0C" w:rsidRPr="00C82A0C">
        <w:t>(Shaw 2021, 50)</w:t>
      </w:r>
      <w:r>
        <w:t xml:space="preserve"> or from </w:t>
      </w:r>
      <w:r w:rsidR="00733E3E">
        <w:t xml:space="preserve">the known </w:t>
      </w:r>
      <w:r>
        <w:t>to</w:t>
      </w:r>
      <w:r w:rsidR="00733E3E">
        <w:t xml:space="preserve"> the </w:t>
      </w:r>
      <w:r>
        <w:t xml:space="preserve">unknown </w:t>
      </w:r>
      <w:r w:rsidRPr="0073700F">
        <w:t>(Mburu 2019, 7)</w:t>
      </w:r>
      <w:r>
        <w:t xml:space="preserve">, from the “whole to part” </w:t>
      </w:r>
      <w:r w:rsidRPr="00CD64CF">
        <w:t>(Steffen 2009, 109)</w:t>
      </w:r>
      <w:r>
        <w:t>.</w:t>
      </w:r>
      <w:r w:rsidR="00733E3E">
        <w:t xml:space="preserve"> </w:t>
      </w:r>
      <w:r w:rsidRPr="00315727">
        <w:t xml:space="preserve">Spiral thinkers </w:t>
      </w:r>
      <w:r>
        <w:t>are inclined to share</w:t>
      </w:r>
      <w:r w:rsidRPr="00315727">
        <w:t xml:space="preserve"> seemingly unrelated stories that collectively illustrate a central point from various perspectives</w:t>
      </w:r>
      <w:r w:rsidR="00C82A0C">
        <w:t xml:space="preserve"> as they ten</w:t>
      </w:r>
      <w:r w:rsidR="00845D8D">
        <w:t>d to</w:t>
      </w:r>
      <w:r w:rsidR="00C82A0C">
        <w:t xml:space="preserve"> </w:t>
      </w:r>
      <w:r>
        <w:t>use a more supple communication style by which they prepare the listener to accept the point, often without even mentioning the point directly (</w:t>
      </w:r>
      <w:proofErr w:type="spellStart"/>
      <w:r w:rsidRPr="00A358E3">
        <w:t>M</w:t>
      </w:r>
      <w:r>
        <w:t>aggay</w:t>
      </w:r>
      <w:proofErr w:type="spellEnd"/>
      <w:r w:rsidRPr="00ED1B78">
        <w:t xml:space="preserve"> 2023</w:t>
      </w:r>
      <w:r>
        <w:t>).</w:t>
      </w:r>
    </w:p>
    <w:p w14:paraId="04336C7B" w14:textId="77777777" w:rsidR="00BC4676" w:rsidRDefault="00BC4676" w:rsidP="008F6519">
      <w:pPr>
        <w:pStyle w:val="Normal2"/>
        <w:ind w:firstLine="0"/>
      </w:pPr>
    </w:p>
    <w:p w14:paraId="612C2BE2" w14:textId="77777777" w:rsidR="00BC4676" w:rsidRDefault="00856408" w:rsidP="00856408">
      <w:pPr>
        <w:pStyle w:val="Normal1"/>
        <w:jc w:val="center"/>
        <w:rPr>
          <w:sz w:val="20"/>
          <w:szCs w:val="20"/>
        </w:rPr>
      </w:pPr>
      <w:r>
        <w:rPr>
          <w:noProof/>
        </w:rPr>
        <w:lastRenderedPageBreak/>
        <w:drawing>
          <wp:inline distT="0" distB="0" distL="0" distR="0" wp14:anchorId="64F54661" wp14:editId="47A75451">
            <wp:extent cx="5943600" cy="3343275"/>
            <wp:effectExtent l="0" t="0" r="0" b="9525"/>
            <wp:docPr id="14705040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0407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943600" cy="3343275"/>
                    </a:xfrm>
                    <a:prstGeom prst="rect">
                      <a:avLst/>
                    </a:prstGeom>
                  </pic:spPr>
                </pic:pic>
              </a:graphicData>
            </a:graphic>
          </wp:inline>
        </w:drawing>
      </w:r>
    </w:p>
    <w:p w14:paraId="727C2E81" w14:textId="6E5D093C" w:rsidR="00301AD1" w:rsidRPr="00856408" w:rsidRDefault="00856408" w:rsidP="00856408">
      <w:pPr>
        <w:pStyle w:val="Normal1"/>
        <w:jc w:val="center"/>
        <w:rPr>
          <w:sz w:val="20"/>
          <w:szCs w:val="20"/>
        </w:rPr>
      </w:pPr>
      <w:r>
        <w:rPr>
          <w:sz w:val="20"/>
          <w:szCs w:val="20"/>
        </w:rPr>
        <w:t xml:space="preserve">Figure 3: </w:t>
      </w:r>
      <w:r w:rsidR="00301AD1" w:rsidRPr="00856408">
        <w:rPr>
          <w:sz w:val="20"/>
          <w:szCs w:val="20"/>
        </w:rPr>
        <w:t>Spiral Curriculum</w:t>
      </w:r>
      <w:r>
        <w:rPr>
          <w:sz w:val="20"/>
          <w:szCs w:val="20"/>
        </w:rPr>
        <w:t xml:space="preserve"> (Brunner 1960)</w:t>
      </w:r>
    </w:p>
    <w:p w14:paraId="00FF3E68" w14:textId="60D06839" w:rsidR="007E41C9" w:rsidRDefault="007E41C9" w:rsidP="00295D0E">
      <w:pPr>
        <w:pStyle w:val="Normal2"/>
      </w:pPr>
      <w:r w:rsidRPr="007E41C9">
        <w:rPr>
          <w:i/>
          <w:iCs/>
        </w:rPr>
        <w:t>Collaborative learning</w:t>
      </w:r>
      <w:r w:rsidRPr="00EA4B42">
        <w:t xml:space="preserve"> focuses on group</w:t>
      </w:r>
      <w:r>
        <w:t xml:space="preserve">s </w:t>
      </w:r>
      <w:r w:rsidR="00845D8D">
        <w:t xml:space="preserve">and </w:t>
      </w:r>
      <w:r>
        <w:t xml:space="preserve">must be connected to “real-world problems” </w:t>
      </w:r>
      <w:r w:rsidRPr="0040601A">
        <w:t>(Crumly 2014, 29)</w:t>
      </w:r>
      <w:r>
        <w:t xml:space="preserve"> and situational </w:t>
      </w:r>
      <w:r w:rsidRPr="00D954D3">
        <w:t>(Ong 2002, 48–56)</w:t>
      </w:r>
      <w:r>
        <w:t xml:space="preserve">. </w:t>
      </w:r>
      <w:r w:rsidRPr="00130EE8">
        <w:t xml:space="preserve">Hofstede’s </w:t>
      </w:r>
      <w:r w:rsidRPr="0073700F">
        <w:t>(2010)</w:t>
      </w:r>
      <w:r w:rsidRPr="00130EE8">
        <w:t xml:space="preserve"> </w:t>
      </w:r>
      <w:r>
        <w:t xml:space="preserve">data shows that Filipinos tend to be </w:t>
      </w:r>
      <w:r w:rsidRPr="00130EE8">
        <w:t>collectivistic</w:t>
      </w:r>
      <w:r>
        <w:t>,</w:t>
      </w:r>
      <w:r w:rsidRPr="00130EE8">
        <w:t xml:space="preserve"> </w:t>
      </w:r>
      <w:r>
        <w:t xml:space="preserve">while most </w:t>
      </w:r>
      <w:r w:rsidRPr="00130EE8">
        <w:t xml:space="preserve">Western countries </w:t>
      </w:r>
      <w:r>
        <w:t xml:space="preserve">tend to be strongly </w:t>
      </w:r>
      <w:r w:rsidRPr="00130EE8">
        <w:t>individualist</w:t>
      </w:r>
      <w:r>
        <w:t xml:space="preserve"> </w:t>
      </w:r>
      <w:r w:rsidRPr="0073700F">
        <w:t>(97)</w:t>
      </w:r>
      <w:r w:rsidRPr="00130EE8">
        <w:t>.</w:t>
      </w:r>
      <w:r>
        <w:t xml:space="preserve"> Learning in groups is more effective as people learn faster, remember better, and can help each other’s understanding </w:t>
      </w:r>
      <w:r w:rsidRPr="0073700F">
        <w:t>(Watson &amp; Watson 2014, 188–210)</w:t>
      </w:r>
      <w:r>
        <w:t>. The</w:t>
      </w:r>
      <w:r w:rsidRPr="00EA4B42">
        <w:t xml:space="preserve"> mix of real-world and theoretical learning, often in groups, is known as </w:t>
      </w:r>
      <w:r w:rsidRPr="007E41C9">
        <w:rPr>
          <w:i/>
          <w:iCs/>
        </w:rPr>
        <w:t>experiential learning</w:t>
      </w:r>
      <w:r w:rsidRPr="00EA4B42">
        <w:t>,</w:t>
      </w:r>
      <w:r w:rsidR="008363BC">
        <w:t xml:space="preserve"> recognized</w:t>
      </w:r>
      <w:r w:rsidRPr="00EA4B42">
        <w:t xml:space="preserve"> as a very effective way to learn</w:t>
      </w:r>
      <w:r>
        <w:t xml:space="preserve"> </w:t>
      </w:r>
      <w:r w:rsidRPr="00B95EF1">
        <w:t>(Johnson 2017, 47)</w:t>
      </w:r>
      <w:r>
        <w:t>.</w:t>
      </w:r>
    </w:p>
    <w:p w14:paraId="26583724" w14:textId="1BD7729B" w:rsidR="008E7D99" w:rsidRDefault="00C82A0C" w:rsidP="00295D0E">
      <w:pPr>
        <w:pStyle w:val="Normal2"/>
      </w:pPr>
      <w:r w:rsidRPr="00C82A0C">
        <w:t xml:space="preserve">Wenger (2009) coined the term </w:t>
      </w:r>
      <w:r w:rsidRPr="003B3D2A">
        <w:rPr>
          <w:i/>
          <w:iCs/>
        </w:rPr>
        <w:t>communities of practice</w:t>
      </w:r>
      <w:r w:rsidRPr="00C82A0C">
        <w:t xml:space="preserve"> to describe groups of individuals who come together, </w:t>
      </w:r>
      <w:proofErr w:type="gramStart"/>
      <w:r w:rsidRPr="00C82A0C">
        <w:t>intentionally</w:t>
      </w:r>
      <w:proofErr w:type="gramEnd"/>
      <w:r w:rsidRPr="00C82A0C">
        <w:t xml:space="preserve"> or unintentionally, to collaboratively learn and solve real-world problems within a shared field of human activity.</w:t>
      </w:r>
      <w:r>
        <w:t xml:space="preserve"> Most Filipinos are literate, </w:t>
      </w:r>
      <w:r w:rsidR="00845D8D">
        <w:t>but</w:t>
      </w:r>
      <w:r>
        <w:t xml:space="preserve"> they prefer to learn through oral communication.</w:t>
      </w:r>
      <w:r w:rsidR="008E7D99">
        <w:t xml:space="preserve"> </w:t>
      </w:r>
      <w:r w:rsidR="00E5393B">
        <w:t>C</w:t>
      </w:r>
      <w:r w:rsidR="008E7D99">
        <w:t>raftsmen</w:t>
      </w:r>
      <w:r w:rsidR="00845D8D">
        <w:t>,</w:t>
      </w:r>
      <w:r w:rsidR="008E7D99">
        <w:t xml:space="preserve"> </w:t>
      </w:r>
      <w:r w:rsidR="0009374A">
        <w:t>for example</w:t>
      </w:r>
      <w:r w:rsidR="00845D8D">
        <w:t>,</w:t>
      </w:r>
      <w:r w:rsidR="008E7D99">
        <w:t xml:space="preserve"> </w:t>
      </w:r>
      <w:r w:rsidR="0009374A">
        <w:t xml:space="preserve">have told </w:t>
      </w:r>
      <w:r w:rsidR="008E7D99">
        <w:t>me they obtained their skill “on the job</w:t>
      </w:r>
      <w:r w:rsidR="00845D8D">
        <w:t>,”</w:t>
      </w:r>
      <w:r w:rsidR="008E7D99">
        <w:t xml:space="preserve"> not in formal setting</w:t>
      </w:r>
      <w:r w:rsidR="00E5393B">
        <w:t>s</w:t>
      </w:r>
      <w:r w:rsidR="008E7D99">
        <w:t>.</w:t>
      </w:r>
      <w:r w:rsidR="003B3D2A">
        <w:t xml:space="preserve"> </w:t>
      </w:r>
      <w:r w:rsidR="003B3D2A" w:rsidRPr="003B3D2A">
        <w:rPr>
          <w:i/>
          <w:iCs/>
        </w:rPr>
        <w:t>Active learning</w:t>
      </w:r>
      <w:r w:rsidR="003B3D2A" w:rsidRPr="003B3D2A">
        <w:t xml:space="preserve"> involves hands-on learning, providing immediate feedback to learners, fostering critical thinking, and encouraging the application of higher-order thinking skills to analyze, synthesize, solve problems, and evaluate outcomes</w:t>
      </w:r>
      <w:r w:rsidR="008E7D99">
        <w:t xml:space="preserve"> </w:t>
      </w:r>
      <w:r w:rsidR="008E7D99" w:rsidRPr="002B6F04">
        <w:t>(Crumly 2014, 29)</w:t>
      </w:r>
      <w:r w:rsidR="003B3D2A">
        <w:t>.</w:t>
      </w:r>
    </w:p>
    <w:p w14:paraId="145FC03E" w14:textId="790ED1DD" w:rsidR="008E7D99" w:rsidRDefault="008E7D99" w:rsidP="00295D0E">
      <w:pPr>
        <w:pStyle w:val="Normal2"/>
      </w:pPr>
      <w:r w:rsidRPr="003B3D2A">
        <w:rPr>
          <w:i/>
          <w:iCs/>
        </w:rPr>
        <w:t>Case-based learning</w:t>
      </w:r>
      <w:r w:rsidRPr="006B4287">
        <w:t xml:space="preserve"> </w:t>
      </w:r>
      <w:r>
        <w:t xml:space="preserve">usually starts with a story or a case </w:t>
      </w:r>
      <w:r w:rsidRPr="00D954D3">
        <w:t>(Crumly 2014, 30–31)</w:t>
      </w:r>
      <w:r>
        <w:t xml:space="preserve">. Jesus often used this approach for deep interactions. </w:t>
      </w:r>
      <w:r w:rsidR="0009374A">
        <w:t>For example, it was a</w:t>
      </w:r>
      <w:r>
        <w:t xml:space="preserve">fter telling the </w:t>
      </w:r>
      <w:r w:rsidR="0009374A">
        <w:t xml:space="preserve">Parable </w:t>
      </w:r>
      <w:r>
        <w:t xml:space="preserve">of </w:t>
      </w:r>
      <w:r w:rsidRPr="007257F4">
        <w:t>the Sower</w:t>
      </w:r>
      <w:r>
        <w:t xml:space="preserve"> (Mt. 13:1-9)</w:t>
      </w:r>
      <w:r w:rsidR="0009374A">
        <w:t xml:space="preserve"> that</w:t>
      </w:r>
      <w:r>
        <w:t xml:space="preserve"> he elaborated on it</w:t>
      </w:r>
      <w:r w:rsidR="0009374A">
        <w:t>s meaning</w:t>
      </w:r>
      <w:r>
        <w:t xml:space="preserve"> (Mt. 13:18-23).</w:t>
      </w:r>
      <w:r w:rsidR="003B3D2A">
        <w:t xml:space="preserve"> </w:t>
      </w:r>
      <w:r>
        <w:t xml:space="preserve">Combining </w:t>
      </w:r>
      <w:r w:rsidRPr="007257F4">
        <w:t>experi</w:t>
      </w:r>
      <w:r>
        <w:t>ential</w:t>
      </w:r>
      <w:r w:rsidRPr="007257F4">
        <w:t xml:space="preserve"> learning</w:t>
      </w:r>
      <w:r>
        <w:t xml:space="preserve"> with </w:t>
      </w:r>
      <w:r w:rsidRPr="007257F4">
        <w:t>case-based learning</w:t>
      </w:r>
      <w:r>
        <w:t xml:space="preserve"> can be more effective because the story at the beginning of a learning session is replaced by a real-life experience. Going even a step further, we can look at </w:t>
      </w:r>
      <w:r w:rsidRPr="003B3D2A">
        <w:rPr>
          <w:i/>
          <w:iCs/>
        </w:rPr>
        <w:t>embodied cognition</w:t>
      </w:r>
      <w:r>
        <w:t xml:space="preserve">. The theory states that learning, physical experiences, and emotions are interconnected </w:t>
      </w:r>
      <w:r w:rsidR="007E5643" w:rsidRPr="007E5643">
        <w:t>(Adams 2021)</w:t>
      </w:r>
      <w:r>
        <w:t>.</w:t>
      </w:r>
      <w:r w:rsidR="00DF0377">
        <w:t xml:space="preserve"> All these different pedagogies can be seen in Jesus’</w:t>
      </w:r>
      <w:r w:rsidR="0009374A">
        <w:t>s</w:t>
      </w:r>
      <w:r w:rsidR="00DF0377">
        <w:t xml:space="preserve"> teaching.</w:t>
      </w:r>
    </w:p>
    <w:p w14:paraId="26F0494F" w14:textId="03156F2E" w:rsidR="008E7D99" w:rsidRPr="00CC5287" w:rsidRDefault="008E7D99" w:rsidP="00295D0E">
      <w:pPr>
        <w:pStyle w:val="Heading1"/>
      </w:pPr>
      <w:bookmarkStart w:id="4" w:name="_Toc150509018"/>
      <w:r>
        <w:t>Using Oral Pedagogies to Transform Seminary Education</w:t>
      </w:r>
      <w:bookmarkEnd w:id="4"/>
    </w:p>
    <w:p w14:paraId="6B3927AD" w14:textId="4895FE99" w:rsidR="008E7D99" w:rsidRDefault="00D313B1" w:rsidP="00295D0E">
      <w:pPr>
        <w:pStyle w:val="Normal1"/>
      </w:pPr>
      <w:r>
        <w:lastRenderedPageBreak/>
        <w:t xml:space="preserve">Can </w:t>
      </w:r>
      <w:r w:rsidR="00845D8D">
        <w:t xml:space="preserve">we implement </w:t>
      </w:r>
      <w:r>
        <w:t>oral pedagogies as used by Jesus in Philippine seminaries</w:t>
      </w:r>
      <w:r w:rsidR="007A6F96">
        <w:t>,</w:t>
      </w:r>
      <w:r>
        <w:t xml:space="preserve"> given that s</w:t>
      </w:r>
      <w:r w:rsidR="008E7D99">
        <w:t>tudents are used to the Western system and are expected to adjust to the teacher</w:t>
      </w:r>
      <w:r w:rsidR="008E7D99" w:rsidRPr="002149B7">
        <w:t xml:space="preserve"> </w:t>
      </w:r>
      <w:r w:rsidR="008E7D99">
        <w:t>(Crabtree &amp; Sapp 2004, 107)</w:t>
      </w:r>
      <w:r>
        <w:t>?</w:t>
      </w:r>
      <w:r w:rsidR="008E7D99">
        <w:t xml:space="preserve"> </w:t>
      </w:r>
      <w:r w:rsidRPr="00D313B1">
        <w:t>Rather than offering specific recommendations, I</w:t>
      </w:r>
      <w:r w:rsidR="0009374A">
        <w:t xml:space="preserve"> wi</w:t>
      </w:r>
      <w:r w:rsidRPr="00D313B1">
        <w:t xml:space="preserve">ll share </w:t>
      </w:r>
      <w:r w:rsidR="00845D8D">
        <w:t>my ongoing changes</w:t>
      </w:r>
      <w:r w:rsidRPr="00D313B1">
        <w:t xml:space="preserve"> </w:t>
      </w:r>
      <w:r w:rsidR="00845D8D">
        <w:t>with</w:t>
      </w:r>
      <w:r w:rsidRPr="00D313B1">
        <w:t xml:space="preserve"> my students, focusing on fostering transformative learning beyond mere information acquisition</w:t>
      </w:r>
      <w:r w:rsidR="007A6F96">
        <w:t>.</w:t>
      </w:r>
    </w:p>
    <w:p w14:paraId="7D3D5D83" w14:textId="6A3D5A74" w:rsidR="008E7D99" w:rsidRDefault="008E7D99" w:rsidP="00295D0E">
      <w:pPr>
        <w:pStyle w:val="Normal2"/>
      </w:pPr>
      <w:r>
        <w:t xml:space="preserve">Because English is often seen as superior, I </w:t>
      </w:r>
      <w:r w:rsidR="006E4CDD">
        <w:t>try</w:t>
      </w:r>
      <w:r>
        <w:t xml:space="preserve"> to elevate the significance of heart-</w:t>
      </w:r>
      <w:r w:rsidR="004809F8">
        <w:t>language</w:t>
      </w:r>
      <w:r>
        <w:t xml:space="preserve"> communication.</w:t>
      </w:r>
      <w:r w:rsidR="004809F8" w:rsidRPr="004809F8">
        <w:t xml:space="preserve"> </w:t>
      </w:r>
      <w:r w:rsidR="004809F8">
        <w:t xml:space="preserve">In class, I predominantly use Tagalog with some commonly used English terms. Additionally, students can engage in classroom discussions and do their assignments in Ilonggo or Cebuano. To reduce the need for reading assignments, </w:t>
      </w:r>
      <w:r w:rsidRPr="00984762">
        <w:t>I often incorporate videos, songs, illustrations, stories</w:t>
      </w:r>
      <w:r>
        <w:t>, and even games</w:t>
      </w:r>
      <w:r w:rsidRPr="00984762">
        <w:t xml:space="preserve"> into my teaching. Moreover, I encourage my students to submit their assignments in their preferred formats</w:t>
      </w:r>
      <w:r>
        <w:t>:</w:t>
      </w:r>
      <w:r w:rsidRPr="00984762">
        <w:t xml:space="preserve"> visual arts, mind maps, videos, or voice recordings.</w:t>
      </w:r>
      <w:r>
        <w:t xml:space="preserve"> </w:t>
      </w:r>
      <w:r w:rsidR="007E6B34">
        <w:t xml:space="preserve">Physical movement and other visual forms of expression are encouraged in my class because these have proven to reduce students’ cognitive load while improving learning simultaneously </w:t>
      </w:r>
      <w:r w:rsidRPr="00E24FEB">
        <w:t>(Ferreira 2021)</w:t>
      </w:r>
      <w:r>
        <w:t>.</w:t>
      </w:r>
      <w:r w:rsidR="004809F8">
        <w:t xml:space="preserve"> </w:t>
      </w:r>
      <w:r>
        <w:t>Whenever possible, I use stories to illustrate a point and as the primary teaching point.</w:t>
      </w:r>
      <w:r w:rsidR="004809F8">
        <w:t xml:space="preserve"> </w:t>
      </w:r>
      <w:r w:rsidR="004809F8" w:rsidRPr="004809F8">
        <w:t>I</w:t>
      </w:r>
      <w:r w:rsidR="004809F8">
        <w:t xml:space="preserve"> have </w:t>
      </w:r>
      <w:r w:rsidR="004809F8" w:rsidRPr="004809F8">
        <w:t xml:space="preserve">transformed my syllabi from lists of abstract concepts to narratives, creating an engaging </w:t>
      </w:r>
      <w:r w:rsidR="007A6F96">
        <w:t>student experience</w:t>
      </w:r>
      <w:r w:rsidR="004809F8" w:rsidRPr="004809F8">
        <w:t xml:space="preserve">. </w:t>
      </w:r>
      <w:r w:rsidR="007A6F96">
        <w:t xml:space="preserve">During the </w:t>
      </w:r>
      <w:r w:rsidR="004809F8" w:rsidRPr="004809F8">
        <w:t xml:space="preserve">first day of class, we </w:t>
      </w:r>
      <w:r w:rsidR="00E6482B">
        <w:t xml:space="preserve">enjoy </w:t>
      </w:r>
      <w:r w:rsidR="00E6482B" w:rsidRPr="004809F8">
        <w:t>reading</w:t>
      </w:r>
      <w:r w:rsidR="004809F8" w:rsidRPr="004809F8">
        <w:t xml:space="preserve"> the syllabus together, </w:t>
      </w:r>
      <w:r w:rsidR="007A6F96">
        <w:t>as</w:t>
      </w:r>
      <w:r w:rsidR="004809F8" w:rsidRPr="004809F8">
        <w:t xml:space="preserve"> different students</w:t>
      </w:r>
      <w:r w:rsidR="007A6F96">
        <w:t xml:space="preserve"> are assigned</w:t>
      </w:r>
      <w:r w:rsidR="004809F8" w:rsidRPr="004809F8">
        <w:t xml:space="preserve"> to various characters in the story.</w:t>
      </w:r>
    </w:p>
    <w:p w14:paraId="551E8FC5" w14:textId="2D5EDDF8" w:rsidR="008E7D99" w:rsidRDefault="008E7D99" w:rsidP="00295D0E">
      <w:pPr>
        <w:pStyle w:val="Normal2"/>
      </w:pPr>
      <w:r>
        <w:t xml:space="preserve">Filipinos do not want to stand out from a group even for their academic achievements </w:t>
      </w:r>
      <w:r w:rsidRPr="00AE56AB">
        <w:t>(Lingenfelter 2001, 455)</w:t>
      </w:r>
      <w:r>
        <w:t xml:space="preserve">. </w:t>
      </w:r>
      <w:r w:rsidR="005161E5">
        <w:t>L</w:t>
      </w:r>
      <w:r>
        <w:t>earning should not be competiti</w:t>
      </w:r>
      <w:r w:rsidR="005161E5">
        <w:t>ve</w:t>
      </w:r>
      <w:r>
        <w:t xml:space="preserve"> but collaborati</w:t>
      </w:r>
      <w:r w:rsidR="005161E5">
        <w:t>ve</w:t>
      </w:r>
      <w:r>
        <w:t xml:space="preserve">. </w:t>
      </w:r>
      <w:r w:rsidR="005161E5" w:rsidRPr="005161E5">
        <w:t>In</w:t>
      </w:r>
      <w:r w:rsidR="00740D42">
        <w:t xml:space="preserve"> the course</w:t>
      </w:r>
      <w:r w:rsidR="005161E5" w:rsidRPr="005161E5">
        <w:t xml:space="preserve"> </w:t>
      </w:r>
      <w:r w:rsidR="00911333">
        <w:t>C</w:t>
      </w:r>
      <w:r w:rsidR="005161E5" w:rsidRPr="005161E5">
        <w:t xml:space="preserve">ommunity </w:t>
      </w:r>
      <w:r w:rsidR="00911333">
        <w:t>D</w:t>
      </w:r>
      <w:r w:rsidR="005161E5" w:rsidRPr="005161E5">
        <w:t xml:space="preserve">evelopment, my students collaboratively start and maintain an organic vegetable garden, graded not by the produce quantity but by their </w:t>
      </w:r>
      <w:r w:rsidR="005161E5">
        <w:t>collaboration</w:t>
      </w:r>
      <w:r w:rsidR="005161E5" w:rsidRPr="005161E5">
        <w:t xml:space="preserve"> and teamwork.</w:t>
      </w:r>
    </w:p>
    <w:p w14:paraId="107E5209" w14:textId="3D552267" w:rsidR="008E7D99" w:rsidRDefault="005161E5" w:rsidP="00295D0E">
      <w:pPr>
        <w:pStyle w:val="Normal2"/>
      </w:pPr>
      <w:r>
        <w:t xml:space="preserve">Relational learning is </w:t>
      </w:r>
      <w:r w:rsidR="007A6F96">
        <w:t>essential</w:t>
      </w:r>
      <w:r>
        <w:t xml:space="preserve">. </w:t>
      </w:r>
      <w:r w:rsidR="008E7D99">
        <w:t xml:space="preserve">Chatting about personal and impersonal issues before and in class is a way of connecting </w:t>
      </w:r>
      <w:r w:rsidR="008E7D99" w:rsidRPr="003466A8">
        <w:t>(Crabtree &amp; Sapp 2004, 116)</w:t>
      </w:r>
      <w:r w:rsidR="008E7D99">
        <w:t xml:space="preserve">. </w:t>
      </w:r>
      <w:r w:rsidR="008E7D99" w:rsidRPr="008662ED">
        <w:t xml:space="preserve">In my </w:t>
      </w:r>
      <w:r w:rsidR="0016366B">
        <w:t>A</w:t>
      </w:r>
      <w:r w:rsidR="008E7D99" w:rsidRPr="007257F4">
        <w:t>nthropology</w:t>
      </w:r>
      <w:r w:rsidR="008E7D99" w:rsidRPr="008662ED">
        <w:t xml:space="preserve"> class, we </w:t>
      </w:r>
      <w:r w:rsidR="008E7D99">
        <w:t>start</w:t>
      </w:r>
      <w:r w:rsidR="008E7D99" w:rsidRPr="008662ED">
        <w:t xml:space="preserve"> with a</w:t>
      </w:r>
      <w:r>
        <w:t xml:space="preserve"> </w:t>
      </w:r>
      <w:r w:rsidR="008E7D99" w:rsidRPr="008662ED">
        <w:t xml:space="preserve">movie night featuring </w:t>
      </w:r>
      <w:proofErr w:type="spellStart"/>
      <w:r w:rsidR="008E7D99" w:rsidRPr="008662ED">
        <w:rPr>
          <w:i/>
          <w:iCs/>
        </w:rPr>
        <w:t>Smallfoot</w:t>
      </w:r>
      <w:proofErr w:type="spellEnd"/>
      <w:r w:rsidR="008E7D99" w:rsidRPr="008662ED">
        <w:t xml:space="preserve">. Later in the course, we analyze the film, as it offers valuable insights into </w:t>
      </w:r>
      <w:r w:rsidR="008E7D99">
        <w:t>culture and</w:t>
      </w:r>
      <w:r w:rsidR="008E7D99" w:rsidRPr="008662ED">
        <w:t xml:space="preserve"> worldview.</w:t>
      </w:r>
      <w:r w:rsidR="008E7D99">
        <w:t xml:space="preserve"> We enjoy it as we bond and engage in this story, making learning fun</w:t>
      </w:r>
      <w:r>
        <w:t xml:space="preserve"> and memorable</w:t>
      </w:r>
      <w:r w:rsidR="008E7D99">
        <w:t>.</w:t>
      </w:r>
    </w:p>
    <w:p w14:paraId="0A7938C3" w14:textId="5635DFCB" w:rsidR="008E7D99" w:rsidRDefault="00AC7281" w:rsidP="00295D0E">
      <w:pPr>
        <w:pStyle w:val="Normal2"/>
      </w:pPr>
      <w:r w:rsidRPr="00AC7281">
        <w:t xml:space="preserve">Rather than grading exams, my students face post-class challenges related to the topic. For instance, after studying culture shock, they document themselves engaging in </w:t>
      </w:r>
      <w:r w:rsidR="00296BBE">
        <w:t>an activity</w:t>
      </w:r>
      <w:r w:rsidR="00296BBE" w:rsidRPr="00AC7281">
        <w:t xml:space="preserve"> </w:t>
      </w:r>
      <w:r w:rsidRPr="00AC7281">
        <w:t>unusual for their culture for a week</w:t>
      </w:r>
      <w:r w:rsidR="007A6F96">
        <w:t>, lik</w:t>
      </w:r>
      <w:r>
        <w:t xml:space="preserve">e </w:t>
      </w:r>
      <w:r w:rsidRPr="00AC7281">
        <w:t>sit</w:t>
      </w:r>
      <w:r>
        <w:t>ting</w:t>
      </w:r>
      <w:r w:rsidRPr="00AC7281">
        <w:t xml:space="preserve"> on the floor and </w:t>
      </w:r>
      <w:r>
        <w:t>placing</w:t>
      </w:r>
      <w:r w:rsidRPr="00AC7281">
        <w:t xml:space="preserve"> their plate on the chair at mealtimes.</w:t>
      </w:r>
      <w:r>
        <w:t xml:space="preserve"> </w:t>
      </w:r>
      <w:r w:rsidRPr="00AC7281">
        <w:t>This experiential learning is more memorable than memorizing definitions for exams.</w:t>
      </w:r>
      <w:r>
        <w:t xml:space="preserve"> M</w:t>
      </w:r>
      <w:r w:rsidR="008E7D99">
        <w:t>any challeng</w:t>
      </w:r>
      <w:r w:rsidR="00296BBE">
        <w:t>ing task</w:t>
      </w:r>
      <w:r w:rsidR="008E7D99">
        <w:t xml:space="preserve">s are </w:t>
      </w:r>
      <w:r w:rsidR="00296BBE">
        <w:t xml:space="preserve">performed </w:t>
      </w:r>
      <w:r>
        <w:t>as</w:t>
      </w:r>
      <w:r w:rsidR="008E7D99">
        <w:t xml:space="preserve"> groups and submitted as multimedia into a group chat. </w:t>
      </w:r>
      <w:r>
        <w:t xml:space="preserve">Students </w:t>
      </w:r>
      <w:r w:rsidR="008E7D99">
        <w:t>still need to research, but we all enjoy their vlogging as</w:t>
      </w:r>
      <w:r w:rsidR="00296BBE">
        <w:t>, for example,</w:t>
      </w:r>
      <w:r w:rsidR="008E7D99">
        <w:t xml:space="preserve"> the</w:t>
      </w:r>
      <w:r w:rsidR="00296BBE">
        <w:t xml:space="preserve"> students</w:t>
      </w:r>
      <w:r w:rsidR="008E7D99">
        <w:t xml:space="preserve"> picture themselves in the ancient cities of the Roman </w:t>
      </w:r>
      <w:r w:rsidR="00296BBE">
        <w:t>E</w:t>
      </w:r>
      <w:r w:rsidR="008E7D99">
        <w:t>mpire and conduct interviews</w:t>
      </w:r>
      <w:r>
        <w:t xml:space="preserve"> with attendees of Paul’s sermons</w:t>
      </w:r>
      <w:r w:rsidR="008E7D99">
        <w:t>. Students are encouraged to watch each other’s submissions and comment on them</w:t>
      </w:r>
      <w:r>
        <w:t xml:space="preserve"> to </w:t>
      </w:r>
      <w:r w:rsidR="008E7D99">
        <w:t>learn from each other.</w:t>
      </w:r>
    </w:p>
    <w:p w14:paraId="33BDD3A1" w14:textId="341B53E3" w:rsidR="008E7D99" w:rsidRDefault="008E7D99" w:rsidP="00295D0E">
      <w:pPr>
        <w:pStyle w:val="Normal2"/>
      </w:pPr>
      <w:r>
        <w:t xml:space="preserve">Do you know how learning a new language in a foreign country feels? Try to memorize to say and write the Great Commission in Japanese. Theory cannot replace the experience of struggling to accomplish something in praxis. </w:t>
      </w:r>
      <w:r w:rsidR="00740D42">
        <w:t>For the course</w:t>
      </w:r>
      <w:r w:rsidRPr="00D63CA4">
        <w:t xml:space="preserve"> </w:t>
      </w:r>
      <w:r w:rsidR="00911333">
        <w:t>C</w:t>
      </w:r>
      <w:r w:rsidRPr="007257F4">
        <w:t xml:space="preserve">ampus </w:t>
      </w:r>
      <w:r w:rsidR="00911333">
        <w:t>M</w:t>
      </w:r>
      <w:r w:rsidRPr="007257F4">
        <w:t>inistry</w:t>
      </w:r>
      <w:r w:rsidRPr="00D63CA4">
        <w:t xml:space="preserve">, we follow a dynamic approach. First, we invite representatives from three campus ministries to share their strategies. Afterward, </w:t>
      </w:r>
      <w:r w:rsidR="00911333">
        <w:t xml:space="preserve">my </w:t>
      </w:r>
      <w:r w:rsidRPr="00D63CA4">
        <w:t xml:space="preserve">students collaborate to devise a plan for implementing campus ministry on a nearby campus. </w:t>
      </w:r>
      <w:r>
        <w:t>Learning takes a hands-on approach in the latter half of the course</w:t>
      </w:r>
      <w:r w:rsidRPr="00D63CA4">
        <w:t xml:space="preserve"> as students actively engage in campus ministry rather than studying within the classroom.</w:t>
      </w:r>
    </w:p>
    <w:p w14:paraId="146CA753" w14:textId="00BB4C82" w:rsidR="008E7D99" w:rsidRDefault="008E7D99" w:rsidP="00295D0E">
      <w:pPr>
        <w:pStyle w:val="Normal2"/>
      </w:pPr>
      <w:r w:rsidRPr="00D63CA4">
        <w:t>In</w:t>
      </w:r>
      <w:r w:rsidR="00740D42">
        <w:t xml:space="preserve"> the subject</w:t>
      </w:r>
      <w:r w:rsidRPr="00D63CA4">
        <w:t xml:space="preserve"> </w:t>
      </w:r>
      <w:r w:rsidRPr="007257F4">
        <w:t>Partnership Development</w:t>
      </w:r>
      <w:r w:rsidRPr="00D63CA4">
        <w:t xml:space="preserve">, we </w:t>
      </w:r>
      <w:r>
        <w:t>collectively select</w:t>
      </w:r>
      <w:r w:rsidRPr="00D63CA4">
        <w:t xml:space="preserve"> a one-week evangelistic outreach project the class will undertake.</w:t>
      </w:r>
      <w:r>
        <w:t xml:space="preserve"> </w:t>
      </w:r>
      <w:r w:rsidRPr="00D63CA4">
        <w:t xml:space="preserve">Following </w:t>
      </w:r>
      <w:r>
        <w:t>my</w:t>
      </w:r>
      <w:r w:rsidRPr="00D63CA4">
        <w:t xml:space="preserve"> instruction on </w:t>
      </w:r>
      <w:r>
        <w:t xml:space="preserve">connecting with </w:t>
      </w:r>
      <w:r w:rsidRPr="00D63CA4">
        <w:t>partner</w:t>
      </w:r>
      <w:r>
        <w:t>s</w:t>
      </w:r>
      <w:r w:rsidRPr="00D63CA4">
        <w:t xml:space="preserve">, </w:t>
      </w:r>
      <w:r w:rsidRPr="00D63CA4">
        <w:lastRenderedPageBreak/>
        <w:t>newsletter writing, and presentation skills, the students are tasked</w:t>
      </w:r>
      <w:r>
        <w:t xml:space="preserve"> as groups</w:t>
      </w:r>
      <w:r w:rsidRPr="00D63CA4">
        <w:t xml:space="preserve"> with preparing</w:t>
      </w:r>
      <w:r>
        <w:t xml:space="preserve"> newsletters</w:t>
      </w:r>
      <w:r w:rsidRPr="00D63CA4">
        <w:t xml:space="preserve"> and delivering presentations in churches to secure funding for </w:t>
      </w:r>
      <w:r w:rsidR="007A6F96">
        <w:t>the implementation of our outreach project</w:t>
      </w:r>
      <w:r w:rsidRPr="00D63CA4">
        <w:t>.</w:t>
      </w:r>
      <w:r>
        <w:t xml:space="preserve"> Nothing I can theoretically teach in class could prepare my students better than their experience.</w:t>
      </w:r>
    </w:p>
    <w:p w14:paraId="128AA1A4" w14:textId="0EC6547F" w:rsidR="008E7D99" w:rsidRDefault="008E7D99" w:rsidP="00295D0E">
      <w:pPr>
        <w:pStyle w:val="Heading1"/>
      </w:pPr>
      <w:bookmarkStart w:id="5" w:name="_Toc150509024"/>
      <w:r>
        <w:t>Conclusion</w:t>
      </w:r>
      <w:bookmarkEnd w:id="5"/>
    </w:p>
    <w:p w14:paraId="55108794" w14:textId="6BD7430A" w:rsidR="008E7D99" w:rsidRDefault="008E7D99" w:rsidP="00295D0E">
      <w:pPr>
        <w:pStyle w:val="Normal1"/>
      </w:pPr>
      <w:r w:rsidRPr="006338CB">
        <w:t>Examining the seminary environment</w:t>
      </w:r>
      <w:r>
        <w:t xml:space="preserve"> in the Philippines</w:t>
      </w:r>
      <w:r w:rsidRPr="006338CB">
        <w:t xml:space="preserve"> through cultural, </w:t>
      </w:r>
      <w:r w:rsidR="00296BBE">
        <w:t>b</w:t>
      </w:r>
      <w:r w:rsidRPr="006338CB">
        <w:t xml:space="preserve">iblical, missiological, and pedagogical </w:t>
      </w:r>
      <w:r>
        <w:t>lenses</w:t>
      </w:r>
      <w:r w:rsidRPr="006338CB">
        <w:t xml:space="preserve"> has been instrumental in identifying the divergence between my students</w:t>
      </w:r>
      <w:r>
        <w:t>’</w:t>
      </w:r>
      <w:r w:rsidRPr="006338CB">
        <w:t xml:space="preserve"> learning </w:t>
      </w:r>
      <w:r>
        <w:t>preferences, Jesus’</w:t>
      </w:r>
      <w:r w:rsidR="00296BBE">
        <w:t>s</w:t>
      </w:r>
      <w:r>
        <w:t xml:space="preserve"> ways of teaching, </w:t>
      </w:r>
      <w:r w:rsidRPr="006338CB">
        <w:t>and conventional Western teaching approaches. Consequently, I</w:t>
      </w:r>
      <w:r>
        <w:t xml:space="preserve"> ha</w:t>
      </w:r>
      <w:r w:rsidRPr="006338CB">
        <w:t xml:space="preserve">ve embarked on a transformational journey in my </w:t>
      </w:r>
      <w:r>
        <w:t xml:space="preserve">own </w:t>
      </w:r>
      <w:r w:rsidRPr="006338CB">
        <w:t xml:space="preserve">teaching methodology, striving to align it more closely with the teaching methods of Jesus, as this approach resonates better with </w:t>
      </w:r>
      <w:r>
        <w:t xml:space="preserve">how </w:t>
      </w:r>
      <w:r w:rsidRPr="006338CB">
        <w:t>my students</w:t>
      </w:r>
      <w:r>
        <w:t xml:space="preserve"> learn best</w:t>
      </w:r>
      <w:r w:rsidRPr="006338CB">
        <w:t xml:space="preserve">. </w:t>
      </w:r>
      <w:r>
        <w:t xml:space="preserve">“Christian practices do not require schools or blackboards or textbooks; they are a form of discipleship that fits well with traditional learning strategies of observation and imitation and of learning by doing” </w:t>
      </w:r>
      <w:r w:rsidRPr="00A31B18">
        <w:t>(Arrington 2018, 224)</w:t>
      </w:r>
      <w:r>
        <w:t>.</w:t>
      </w:r>
    </w:p>
    <w:p w14:paraId="0000005E" w14:textId="0C548835" w:rsidR="00961A82" w:rsidRPr="002B3AF9" w:rsidRDefault="00673D43" w:rsidP="00295D0E">
      <w:pPr>
        <w:pStyle w:val="Heading1"/>
        <w:rPr>
          <w:color w:val="000000" w:themeColor="text1"/>
        </w:rPr>
      </w:pPr>
      <w:r>
        <w:t>References</w:t>
      </w:r>
    </w:p>
    <w:p w14:paraId="4D02A890" w14:textId="67E62928" w:rsidR="009A342D" w:rsidRPr="002B3AF9" w:rsidRDefault="009A342D" w:rsidP="008251C1">
      <w:pPr>
        <w:pStyle w:val="Bibliography"/>
        <w:rPr>
          <w:rFonts w:cs="Times New Roman"/>
          <w:color w:val="000000" w:themeColor="text1"/>
        </w:rPr>
      </w:pPr>
      <w:r w:rsidRPr="002B3AF9">
        <w:rPr>
          <w:rFonts w:cs="Times New Roman"/>
          <w:color w:val="000000" w:themeColor="text1"/>
        </w:rPr>
        <w:t>Acoba, E. &amp; Asian Theological Seminary</w:t>
      </w:r>
      <w:r w:rsidR="00E55D81">
        <w:rPr>
          <w:rFonts w:cs="Times New Roman"/>
          <w:color w:val="000000" w:themeColor="text1"/>
        </w:rPr>
        <w:t>,</w:t>
      </w:r>
      <w:r w:rsidRPr="002B3AF9">
        <w:rPr>
          <w:rFonts w:cs="Times New Roman"/>
          <w:color w:val="000000" w:themeColor="text1"/>
        </w:rPr>
        <w:t xml:space="preserve"> </w:t>
      </w:r>
      <w:r w:rsidR="00E55D81">
        <w:rPr>
          <w:rFonts w:cs="Times New Roman"/>
          <w:color w:val="000000" w:themeColor="text1"/>
        </w:rPr>
        <w:t>e</w:t>
      </w:r>
      <w:r w:rsidRPr="002B3AF9">
        <w:rPr>
          <w:rFonts w:cs="Times New Roman"/>
          <w:color w:val="000000" w:themeColor="text1"/>
        </w:rPr>
        <w:t xml:space="preserve">ds. (2005). </w:t>
      </w:r>
      <w:r w:rsidRPr="002B3AF9">
        <w:rPr>
          <w:rFonts w:cs="Times New Roman"/>
          <w:i/>
          <w:iCs/>
          <w:color w:val="000000" w:themeColor="text1"/>
        </w:rPr>
        <w:t>Doing theology in the Philippines</w:t>
      </w:r>
      <w:r w:rsidRPr="002B3AF9">
        <w:rPr>
          <w:rFonts w:cs="Times New Roman"/>
          <w:color w:val="000000" w:themeColor="text1"/>
        </w:rPr>
        <w:t>. Asian Theological Seminary; OMF Literature.</w:t>
      </w:r>
    </w:p>
    <w:p w14:paraId="7A0988BB" w14:textId="5C4565A8"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Adams, J. D. (2021). More than a feeling: The influence of emotions in learning and implications for church ministry. </w:t>
      </w:r>
      <w:r w:rsidRPr="002B3AF9">
        <w:rPr>
          <w:rFonts w:cs="Times New Roman"/>
          <w:i/>
          <w:iCs/>
          <w:color w:val="000000" w:themeColor="text1"/>
        </w:rPr>
        <w:t>Christian Education Journal: Research on Educational Ministry</w:t>
      </w:r>
      <w:r w:rsidRPr="002B3AF9">
        <w:rPr>
          <w:rFonts w:cs="Times New Roman"/>
          <w:color w:val="000000" w:themeColor="text1"/>
        </w:rPr>
        <w:t xml:space="preserve">, </w:t>
      </w:r>
      <w:r w:rsidRPr="002B3AF9">
        <w:rPr>
          <w:rFonts w:cs="Times New Roman"/>
          <w:i/>
          <w:iCs/>
          <w:color w:val="000000" w:themeColor="text1"/>
        </w:rPr>
        <w:t>18</w:t>
      </w:r>
      <w:r w:rsidRPr="002B3AF9">
        <w:rPr>
          <w:rFonts w:cs="Times New Roman"/>
          <w:color w:val="000000" w:themeColor="text1"/>
        </w:rPr>
        <w:t>(1)</w:t>
      </w:r>
      <w:r w:rsidR="00E55D81">
        <w:rPr>
          <w:rFonts w:cs="Times New Roman"/>
          <w:color w:val="000000" w:themeColor="text1"/>
        </w:rPr>
        <w:t>:</w:t>
      </w:r>
      <w:r w:rsidRPr="002B3AF9">
        <w:rPr>
          <w:rFonts w:cs="Times New Roman"/>
          <w:color w:val="000000" w:themeColor="text1"/>
        </w:rPr>
        <w:t xml:space="preserve"> 129–143. </w:t>
      </w:r>
      <w:hyperlink r:id="rId14" w:history="1">
        <w:r w:rsidR="002B3AF9" w:rsidRPr="002B3AF9">
          <w:rPr>
            <w:rStyle w:val="Hyperlink"/>
            <w:rFonts w:cs="Times New Roman"/>
            <w:color w:val="000000" w:themeColor="text1"/>
          </w:rPr>
          <w:t>https://doi.org/10.1177/0739891320967017</w:t>
        </w:r>
      </w:hyperlink>
      <w:r w:rsidR="002B3AF9" w:rsidRPr="002B3AF9">
        <w:rPr>
          <w:rFonts w:cs="Times New Roman"/>
          <w:color w:val="000000" w:themeColor="text1"/>
        </w:rPr>
        <w:t xml:space="preserve"> </w:t>
      </w:r>
    </w:p>
    <w:p w14:paraId="5ACF67C4" w14:textId="6D59B8FE"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Arrington, A. (2018). Reimagining Discipleship: The Lisu Life–Rhythm of Shared Christian Practices. </w:t>
      </w:r>
      <w:r w:rsidRPr="002B3AF9">
        <w:rPr>
          <w:rFonts w:cs="Times New Roman"/>
          <w:i/>
          <w:iCs/>
          <w:color w:val="000000" w:themeColor="text1"/>
        </w:rPr>
        <w:t>International Bulletin of Mission Research</w:t>
      </w:r>
      <w:r w:rsidRPr="002B3AF9">
        <w:rPr>
          <w:rFonts w:cs="Times New Roman"/>
          <w:color w:val="000000" w:themeColor="text1"/>
        </w:rPr>
        <w:t xml:space="preserve">, </w:t>
      </w:r>
      <w:r w:rsidRPr="002B3AF9">
        <w:rPr>
          <w:rFonts w:cs="Times New Roman"/>
          <w:i/>
          <w:iCs/>
          <w:color w:val="000000" w:themeColor="text1"/>
        </w:rPr>
        <w:t>42</w:t>
      </w:r>
      <w:r w:rsidRPr="002B3AF9">
        <w:rPr>
          <w:rFonts w:cs="Times New Roman"/>
          <w:color w:val="000000" w:themeColor="text1"/>
        </w:rPr>
        <w:t>(3)</w:t>
      </w:r>
      <w:r w:rsidR="00E55D81">
        <w:rPr>
          <w:rFonts w:cs="Times New Roman"/>
          <w:color w:val="000000" w:themeColor="text1"/>
        </w:rPr>
        <w:t>:</w:t>
      </w:r>
      <w:r w:rsidRPr="002B3AF9">
        <w:rPr>
          <w:rFonts w:cs="Times New Roman"/>
          <w:color w:val="000000" w:themeColor="text1"/>
        </w:rPr>
        <w:t xml:space="preserve"> 220–228. </w:t>
      </w:r>
      <w:hyperlink r:id="rId15" w:history="1">
        <w:r w:rsidR="002B3AF9" w:rsidRPr="002B3AF9">
          <w:rPr>
            <w:rStyle w:val="Hyperlink"/>
            <w:rFonts w:cs="Times New Roman"/>
            <w:color w:val="000000" w:themeColor="text1"/>
          </w:rPr>
          <w:t>https://doi.org/10.1177/2396939317750550</w:t>
        </w:r>
      </w:hyperlink>
      <w:r w:rsidR="002B3AF9" w:rsidRPr="002B3AF9">
        <w:rPr>
          <w:rFonts w:cs="Times New Roman"/>
          <w:color w:val="000000" w:themeColor="text1"/>
        </w:rPr>
        <w:t xml:space="preserve"> </w:t>
      </w:r>
    </w:p>
    <w:p w14:paraId="61CCB187" w14:textId="0143ECA1"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Bausch, W. J. (1991). </w:t>
      </w:r>
      <w:r w:rsidRPr="002B3AF9">
        <w:rPr>
          <w:rFonts w:cs="Times New Roman"/>
          <w:i/>
          <w:iCs/>
          <w:color w:val="000000" w:themeColor="text1"/>
        </w:rPr>
        <w:t>Storytelling: Imagination and faith</w:t>
      </w:r>
      <w:r w:rsidRPr="002B3AF9">
        <w:rPr>
          <w:rFonts w:cs="Times New Roman"/>
          <w:color w:val="000000" w:themeColor="text1"/>
        </w:rPr>
        <w:t xml:space="preserve">. Twenty-third Publications. </w:t>
      </w:r>
      <w:hyperlink r:id="rId16" w:history="1">
        <w:r w:rsidR="002B3AF9" w:rsidRPr="002B3AF9">
          <w:rPr>
            <w:rStyle w:val="Hyperlink"/>
            <w:rFonts w:cs="Times New Roman"/>
            <w:color w:val="000000" w:themeColor="text1"/>
          </w:rPr>
          <w:t>https://archive.org/details/storytellingimag00unse</w:t>
        </w:r>
      </w:hyperlink>
      <w:r w:rsidR="002B3AF9" w:rsidRPr="002B3AF9">
        <w:rPr>
          <w:rFonts w:cs="Times New Roman"/>
          <w:color w:val="000000" w:themeColor="text1"/>
        </w:rPr>
        <w:t xml:space="preserve"> </w:t>
      </w:r>
    </w:p>
    <w:p w14:paraId="04C37465" w14:textId="77777777"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Bilbao, P. P., Corpuz, B. B., &amp; </w:t>
      </w:r>
      <w:proofErr w:type="spellStart"/>
      <w:r w:rsidRPr="002B3AF9">
        <w:rPr>
          <w:rFonts w:cs="Times New Roman"/>
          <w:color w:val="000000" w:themeColor="text1"/>
        </w:rPr>
        <w:t>Dayagbil</w:t>
      </w:r>
      <w:proofErr w:type="spellEnd"/>
      <w:r w:rsidRPr="002B3AF9">
        <w:rPr>
          <w:rFonts w:cs="Times New Roman"/>
          <w:color w:val="000000" w:themeColor="text1"/>
        </w:rPr>
        <w:t xml:space="preserve">, F. T. (2015). </w:t>
      </w:r>
      <w:r w:rsidRPr="002B3AF9">
        <w:rPr>
          <w:rFonts w:cs="Times New Roman"/>
          <w:i/>
          <w:iCs/>
          <w:color w:val="000000" w:themeColor="text1"/>
        </w:rPr>
        <w:t>Curriculum development for teachers</w:t>
      </w:r>
      <w:r w:rsidRPr="002B3AF9">
        <w:rPr>
          <w:rFonts w:cs="Times New Roman"/>
          <w:color w:val="000000" w:themeColor="text1"/>
        </w:rPr>
        <w:t>. Lorimar Publishing, Inc.</w:t>
      </w:r>
    </w:p>
    <w:p w14:paraId="5954ECD4" w14:textId="619D3AD0"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Bird, C. H. &amp; Dale, M. (2022). Education and discipling in a performance-based or rote learning context. </w:t>
      </w:r>
      <w:r w:rsidRPr="002B3AF9">
        <w:rPr>
          <w:rFonts w:cs="Times New Roman"/>
          <w:i/>
          <w:iCs/>
          <w:color w:val="000000" w:themeColor="text1"/>
        </w:rPr>
        <w:t>Missiology: An International Review</w:t>
      </w:r>
      <w:r w:rsidRPr="002B3AF9">
        <w:rPr>
          <w:rFonts w:cs="Times New Roman"/>
          <w:color w:val="000000" w:themeColor="text1"/>
        </w:rPr>
        <w:t xml:space="preserve">, </w:t>
      </w:r>
      <w:r w:rsidRPr="002B3AF9">
        <w:rPr>
          <w:rFonts w:cs="Times New Roman"/>
          <w:i/>
          <w:iCs/>
          <w:color w:val="000000" w:themeColor="text1"/>
        </w:rPr>
        <w:t>50</w:t>
      </w:r>
      <w:r w:rsidRPr="002B3AF9">
        <w:rPr>
          <w:rFonts w:cs="Times New Roman"/>
          <w:color w:val="000000" w:themeColor="text1"/>
        </w:rPr>
        <w:t>(3)</w:t>
      </w:r>
      <w:r w:rsidR="00E55D81">
        <w:rPr>
          <w:rFonts w:cs="Times New Roman"/>
          <w:color w:val="000000" w:themeColor="text1"/>
        </w:rPr>
        <w:t>:</w:t>
      </w:r>
      <w:r w:rsidRPr="002B3AF9">
        <w:rPr>
          <w:rFonts w:cs="Times New Roman"/>
          <w:color w:val="000000" w:themeColor="text1"/>
        </w:rPr>
        <w:t xml:space="preserve"> 273–289. </w:t>
      </w:r>
      <w:hyperlink r:id="rId17" w:history="1">
        <w:r w:rsidR="002B3AF9" w:rsidRPr="002B3AF9">
          <w:rPr>
            <w:rStyle w:val="Hyperlink"/>
            <w:rFonts w:cs="Times New Roman"/>
            <w:color w:val="000000" w:themeColor="text1"/>
          </w:rPr>
          <w:t>https://doi.org/10.1177/00918296221103269</w:t>
        </w:r>
      </w:hyperlink>
      <w:r w:rsidR="002B3AF9" w:rsidRPr="002B3AF9">
        <w:rPr>
          <w:rFonts w:cs="Times New Roman"/>
          <w:color w:val="000000" w:themeColor="text1"/>
        </w:rPr>
        <w:t xml:space="preserve"> </w:t>
      </w:r>
    </w:p>
    <w:p w14:paraId="2A0E6C51" w14:textId="42DC9DDE" w:rsidR="009A342D" w:rsidRPr="002B3AF9" w:rsidRDefault="009A342D" w:rsidP="008251C1">
      <w:pPr>
        <w:pStyle w:val="Bibliography"/>
        <w:rPr>
          <w:rFonts w:cs="Times New Roman"/>
          <w:color w:val="000000" w:themeColor="text1"/>
        </w:rPr>
      </w:pPr>
      <w:r w:rsidRPr="002B3AF9">
        <w:rPr>
          <w:rFonts w:cs="Times New Roman"/>
          <w:color w:val="000000" w:themeColor="text1"/>
        </w:rPr>
        <w:t>Bloom, B. S., Engelhart, M. D., Furst, E. J., Hill, W. H., &amp; Krathwohl, D. R.</w:t>
      </w:r>
      <w:r w:rsidR="00E55D81">
        <w:rPr>
          <w:rFonts w:cs="Times New Roman"/>
          <w:color w:val="000000" w:themeColor="text1"/>
        </w:rPr>
        <w:t>,</w:t>
      </w:r>
      <w:r w:rsidRPr="002B3AF9">
        <w:rPr>
          <w:rFonts w:cs="Times New Roman"/>
          <w:color w:val="000000" w:themeColor="text1"/>
        </w:rPr>
        <w:t xml:space="preserve"> </w:t>
      </w:r>
      <w:r w:rsidR="00E55D81">
        <w:rPr>
          <w:rFonts w:cs="Times New Roman"/>
          <w:color w:val="000000" w:themeColor="text1"/>
        </w:rPr>
        <w:t>e</w:t>
      </w:r>
      <w:r w:rsidRPr="002B3AF9">
        <w:rPr>
          <w:rFonts w:cs="Times New Roman"/>
          <w:color w:val="000000" w:themeColor="text1"/>
        </w:rPr>
        <w:t xml:space="preserve">ds. (1956). </w:t>
      </w:r>
      <w:r w:rsidRPr="002B3AF9">
        <w:rPr>
          <w:rFonts w:cs="Times New Roman"/>
          <w:i/>
          <w:iCs/>
          <w:color w:val="000000" w:themeColor="text1"/>
        </w:rPr>
        <w:t>Taxonomy of educational objectives: The classification of educational goals: Vol. Handbook I: Cognitive domain</w:t>
      </w:r>
      <w:r w:rsidRPr="002B3AF9">
        <w:rPr>
          <w:rFonts w:cs="Times New Roman"/>
          <w:color w:val="000000" w:themeColor="text1"/>
        </w:rPr>
        <w:t>. David McKay Company.</w:t>
      </w:r>
    </w:p>
    <w:p w14:paraId="065E171A" w14:textId="77777777"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Box, H. (2014). </w:t>
      </w:r>
      <w:r w:rsidRPr="002B3AF9">
        <w:rPr>
          <w:rFonts w:cs="Times New Roman"/>
          <w:i/>
          <w:iCs/>
          <w:color w:val="000000" w:themeColor="text1"/>
        </w:rPr>
        <w:t>Don’t throw the book at them: Communication the Christian message to people who don’t read</w:t>
      </w:r>
      <w:r w:rsidRPr="002B3AF9">
        <w:rPr>
          <w:rFonts w:cs="Times New Roman"/>
          <w:color w:val="000000" w:themeColor="text1"/>
        </w:rPr>
        <w:t>. William Carey Library.</w:t>
      </w:r>
    </w:p>
    <w:p w14:paraId="62A8F259" w14:textId="0EBE4F9D"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Bruner, J. S. (1960). </w:t>
      </w:r>
      <w:r w:rsidRPr="002B3AF9">
        <w:rPr>
          <w:rFonts w:cs="Times New Roman"/>
          <w:i/>
          <w:iCs/>
          <w:color w:val="000000" w:themeColor="text1"/>
        </w:rPr>
        <w:t>The Process of Education</w:t>
      </w:r>
      <w:r w:rsidRPr="002B3AF9">
        <w:rPr>
          <w:rFonts w:cs="Times New Roman"/>
          <w:color w:val="000000" w:themeColor="text1"/>
        </w:rPr>
        <w:t xml:space="preserve">. Harvard University Press. </w:t>
      </w:r>
      <w:hyperlink r:id="rId18" w:history="1">
        <w:r w:rsidR="002B3AF9" w:rsidRPr="002B3AF9">
          <w:rPr>
            <w:rStyle w:val="Hyperlink"/>
            <w:rFonts w:cs="Times New Roman"/>
            <w:color w:val="000000" w:themeColor="text1"/>
          </w:rPr>
          <w:t>http://edci770.pbworks.com/w/file/fetch/45494576/Bruner_Processes_of_Education.pdf</w:t>
        </w:r>
      </w:hyperlink>
      <w:r w:rsidR="002B3AF9" w:rsidRPr="002B3AF9">
        <w:rPr>
          <w:rFonts w:cs="Times New Roman"/>
          <w:color w:val="000000" w:themeColor="text1"/>
        </w:rPr>
        <w:t xml:space="preserve"> </w:t>
      </w:r>
    </w:p>
    <w:p w14:paraId="06661920" w14:textId="286C664C"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Corpuz, B. B. &amp; Salandanan, G. G. (2015). </w:t>
      </w:r>
      <w:r w:rsidRPr="002B3AF9">
        <w:rPr>
          <w:rFonts w:cs="Times New Roman"/>
          <w:i/>
          <w:iCs/>
          <w:color w:val="000000" w:themeColor="text1"/>
        </w:rPr>
        <w:t>Principles of teaching 2 (with TLE)</w:t>
      </w:r>
      <w:r w:rsidRPr="002B3AF9">
        <w:rPr>
          <w:rFonts w:cs="Times New Roman"/>
          <w:color w:val="000000" w:themeColor="text1"/>
        </w:rPr>
        <w:t>. Lorimar Publishing, Inc.</w:t>
      </w:r>
    </w:p>
    <w:p w14:paraId="15DE9D78" w14:textId="7DC923B9" w:rsidR="009A342D" w:rsidRPr="002B3AF9" w:rsidRDefault="009A342D" w:rsidP="008251C1">
      <w:pPr>
        <w:pStyle w:val="Bibliography"/>
        <w:rPr>
          <w:rFonts w:cs="Times New Roman"/>
          <w:color w:val="000000" w:themeColor="text1"/>
        </w:rPr>
      </w:pPr>
      <w:r w:rsidRPr="002B3AF9">
        <w:rPr>
          <w:rFonts w:cs="Times New Roman"/>
          <w:color w:val="000000" w:themeColor="text1"/>
        </w:rPr>
        <w:lastRenderedPageBreak/>
        <w:t xml:space="preserve">Crabtree, R. D. &amp; Sapp, D. A. (2004). Your culture, my classroom, whose pedagogy? Negotiating effective teaching and learning in Brazil. </w:t>
      </w:r>
      <w:r w:rsidRPr="002B3AF9">
        <w:rPr>
          <w:rFonts w:cs="Times New Roman"/>
          <w:i/>
          <w:iCs/>
          <w:color w:val="000000" w:themeColor="text1"/>
        </w:rPr>
        <w:t>Journal of Studies in International Education</w:t>
      </w:r>
      <w:r w:rsidRPr="002B3AF9">
        <w:rPr>
          <w:rFonts w:cs="Times New Roman"/>
          <w:color w:val="000000" w:themeColor="text1"/>
        </w:rPr>
        <w:t xml:space="preserve">, </w:t>
      </w:r>
      <w:r w:rsidRPr="002B3AF9">
        <w:rPr>
          <w:rFonts w:cs="Times New Roman"/>
          <w:i/>
          <w:iCs/>
          <w:color w:val="000000" w:themeColor="text1"/>
        </w:rPr>
        <w:t>8</w:t>
      </w:r>
      <w:r w:rsidRPr="002B3AF9">
        <w:rPr>
          <w:rFonts w:cs="Times New Roman"/>
          <w:color w:val="000000" w:themeColor="text1"/>
        </w:rPr>
        <w:t>(1)</w:t>
      </w:r>
      <w:r w:rsidR="00E55D81">
        <w:rPr>
          <w:rFonts w:cs="Times New Roman"/>
          <w:color w:val="000000" w:themeColor="text1"/>
        </w:rPr>
        <w:t>:</w:t>
      </w:r>
      <w:r w:rsidRPr="002B3AF9">
        <w:rPr>
          <w:rFonts w:cs="Times New Roman"/>
          <w:color w:val="000000" w:themeColor="text1"/>
        </w:rPr>
        <w:t xml:space="preserve"> 105–132. </w:t>
      </w:r>
      <w:hyperlink r:id="rId19" w:history="1">
        <w:r w:rsidR="002B3AF9" w:rsidRPr="002B3AF9">
          <w:rPr>
            <w:rStyle w:val="Hyperlink"/>
            <w:rFonts w:cs="Times New Roman"/>
            <w:color w:val="000000" w:themeColor="text1"/>
          </w:rPr>
          <w:t>https://doi.org/10.1177/1028315303260826</w:t>
        </w:r>
      </w:hyperlink>
      <w:r w:rsidR="002B3AF9" w:rsidRPr="002B3AF9">
        <w:rPr>
          <w:rFonts w:cs="Times New Roman"/>
          <w:color w:val="000000" w:themeColor="text1"/>
        </w:rPr>
        <w:t xml:space="preserve"> </w:t>
      </w:r>
    </w:p>
    <w:p w14:paraId="184BCAF4" w14:textId="564F2E41"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Crumly, C. L. (2014). Student-centered pedagogies and tactics. In </w:t>
      </w:r>
      <w:r w:rsidRPr="002B3AF9">
        <w:rPr>
          <w:rFonts w:cs="Times New Roman"/>
          <w:i/>
          <w:iCs/>
          <w:color w:val="000000" w:themeColor="text1"/>
        </w:rPr>
        <w:t>Pedagogies for student-centered learning: Online and on-ground</w:t>
      </w:r>
      <w:r w:rsidRPr="002B3AF9">
        <w:rPr>
          <w:rFonts w:cs="Times New Roman"/>
          <w:color w:val="000000" w:themeColor="text1"/>
        </w:rPr>
        <w:t>. Fortress Press</w:t>
      </w:r>
      <w:r w:rsidR="00E55D81">
        <w:rPr>
          <w:rFonts w:cs="Times New Roman"/>
          <w:color w:val="000000" w:themeColor="text1"/>
        </w:rPr>
        <w:t>, 21-42</w:t>
      </w:r>
      <w:r w:rsidRPr="002B3AF9">
        <w:rPr>
          <w:rFonts w:cs="Times New Roman"/>
          <w:color w:val="000000" w:themeColor="text1"/>
        </w:rPr>
        <w:t xml:space="preserve">. </w:t>
      </w:r>
      <w:hyperlink r:id="rId20" w:history="1">
        <w:r w:rsidR="002B3AF9" w:rsidRPr="002B3AF9">
          <w:rPr>
            <w:rStyle w:val="Hyperlink"/>
            <w:rFonts w:cs="Times New Roman"/>
            <w:color w:val="000000" w:themeColor="text1"/>
          </w:rPr>
          <w:t>https://doi.org/10.2307/j.ctt9m0skc</w:t>
        </w:r>
      </w:hyperlink>
      <w:r w:rsidR="002B3AF9" w:rsidRPr="002B3AF9">
        <w:rPr>
          <w:rFonts w:cs="Times New Roman"/>
          <w:color w:val="000000" w:themeColor="text1"/>
        </w:rPr>
        <w:t xml:space="preserve"> </w:t>
      </w:r>
    </w:p>
    <w:p w14:paraId="2EB5BB9F" w14:textId="56DB7873" w:rsidR="009A342D" w:rsidRPr="002B3AF9" w:rsidRDefault="009A342D" w:rsidP="008251C1">
      <w:pPr>
        <w:pStyle w:val="Bibliography"/>
        <w:rPr>
          <w:rFonts w:cs="Times New Roman"/>
          <w:color w:val="000000" w:themeColor="text1"/>
        </w:rPr>
      </w:pPr>
      <w:r w:rsidRPr="002B3AF9">
        <w:rPr>
          <w:rFonts w:cs="Times New Roman"/>
          <w:color w:val="000000" w:themeColor="text1"/>
        </w:rPr>
        <w:t>de Mesa, J. M. (2016). The faith of Jesus as “</w:t>
      </w:r>
      <w:proofErr w:type="spellStart"/>
      <w:r w:rsidRPr="002B3AF9">
        <w:rPr>
          <w:rFonts w:cs="Times New Roman"/>
          <w:color w:val="000000" w:themeColor="text1"/>
        </w:rPr>
        <w:t>pagsasaloob</w:t>
      </w:r>
      <w:proofErr w:type="spellEnd"/>
      <w:r w:rsidRPr="002B3AF9">
        <w:rPr>
          <w:rFonts w:cs="Times New Roman"/>
          <w:color w:val="000000" w:themeColor="text1"/>
        </w:rPr>
        <w:t xml:space="preserve"> at </w:t>
      </w:r>
      <w:proofErr w:type="spellStart"/>
      <w:r w:rsidRPr="002B3AF9">
        <w:rPr>
          <w:rFonts w:cs="Times New Roman"/>
          <w:color w:val="000000" w:themeColor="text1"/>
        </w:rPr>
        <w:t>pangangatawan</w:t>
      </w:r>
      <w:proofErr w:type="spellEnd"/>
      <w:r w:rsidRPr="002B3AF9">
        <w:rPr>
          <w:rFonts w:cs="Times New Roman"/>
          <w:color w:val="000000" w:themeColor="text1"/>
        </w:rPr>
        <w:t xml:space="preserve">”: A cultural approach. In P. D. Bazzell &amp; A. </w:t>
      </w:r>
      <w:proofErr w:type="spellStart"/>
      <w:r w:rsidRPr="002B3AF9">
        <w:rPr>
          <w:rFonts w:cs="Times New Roman"/>
          <w:color w:val="000000" w:themeColor="text1"/>
        </w:rPr>
        <w:t>Peñamora</w:t>
      </w:r>
      <w:proofErr w:type="spellEnd"/>
      <w:r w:rsidR="00E55D81">
        <w:rPr>
          <w:rFonts w:cs="Times New Roman"/>
          <w:color w:val="000000" w:themeColor="text1"/>
        </w:rPr>
        <w:t>, e</w:t>
      </w:r>
      <w:r w:rsidRPr="002B3AF9">
        <w:rPr>
          <w:rFonts w:cs="Times New Roman"/>
          <w:color w:val="000000" w:themeColor="text1"/>
        </w:rPr>
        <w:t xml:space="preserve">ds., </w:t>
      </w:r>
      <w:proofErr w:type="spellStart"/>
      <w:r w:rsidRPr="002B3AF9">
        <w:rPr>
          <w:rFonts w:cs="Times New Roman"/>
          <w:i/>
          <w:iCs/>
          <w:color w:val="000000" w:themeColor="text1"/>
        </w:rPr>
        <w:t>Christologies</w:t>
      </w:r>
      <w:proofErr w:type="spellEnd"/>
      <w:r w:rsidRPr="002B3AF9">
        <w:rPr>
          <w:rFonts w:cs="Times New Roman"/>
          <w:i/>
          <w:iCs/>
          <w:color w:val="000000" w:themeColor="text1"/>
        </w:rPr>
        <w:t>, cultures, and religions: Portraits of Christ in the Philippines</w:t>
      </w:r>
      <w:r w:rsidRPr="002B3AF9">
        <w:rPr>
          <w:rFonts w:cs="Times New Roman"/>
          <w:color w:val="000000" w:themeColor="text1"/>
        </w:rPr>
        <w:t>. OMF Literature.</w:t>
      </w:r>
    </w:p>
    <w:p w14:paraId="0CEB9975" w14:textId="59BF7F31"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Dörnyei, Z. (2009). The English language and the Word of God. In S. W. Wong &amp; S. </w:t>
      </w:r>
      <w:proofErr w:type="spellStart"/>
      <w:r w:rsidRPr="002B3AF9">
        <w:rPr>
          <w:rFonts w:cs="Times New Roman"/>
          <w:color w:val="000000" w:themeColor="text1"/>
        </w:rPr>
        <w:t>Canagarajah</w:t>
      </w:r>
      <w:proofErr w:type="spellEnd"/>
      <w:r w:rsidR="00E55D81">
        <w:rPr>
          <w:rFonts w:cs="Times New Roman"/>
          <w:color w:val="000000" w:themeColor="text1"/>
        </w:rPr>
        <w:t>,</w:t>
      </w:r>
      <w:r w:rsidRPr="002B3AF9">
        <w:rPr>
          <w:rFonts w:cs="Times New Roman"/>
          <w:color w:val="000000" w:themeColor="text1"/>
        </w:rPr>
        <w:t xml:space="preserve"> </w:t>
      </w:r>
      <w:r w:rsidR="00E55D81">
        <w:rPr>
          <w:rFonts w:cs="Times New Roman"/>
          <w:color w:val="000000" w:themeColor="text1"/>
        </w:rPr>
        <w:t>e</w:t>
      </w:r>
      <w:r w:rsidRPr="002B3AF9">
        <w:rPr>
          <w:rFonts w:cs="Times New Roman"/>
          <w:color w:val="000000" w:themeColor="text1"/>
        </w:rPr>
        <w:t xml:space="preserve">ds., </w:t>
      </w:r>
      <w:r w:rsidRPr="002B3AF9">
        <w:rPr>
          <w:rFonts w:cs="Times New Roman"/>
          <w:i/>
          <w:iCs/>
          <w:color w:val="000000" w:themeColor="text1"/>
        </w:rPr>
        <w:t>Christian and critical English language educators in dialogue: Pedagogical and ethical dilemmas</w:t>
      </w:r>
      <w:r w:rsidRPr="002B3AF9">
        <w:rPr>
          <w:rFonts w:cs="Times New Roman"/>
          <w:color w:val="000000" w:themeColor="text1"/>
        </w:rPr>
        <w:t>. Routledge</w:t>
      </w:r>
      <w:r w:rsidR="00E55D81">
        <w:rPr>
          <w:rFonts w:cs="Times New Roman"/>
          <w:color w:val="000000" w:themeColor="text1"/>
        </w:rPr>
        <w:t>, 154-157</w:t>
      </w:r>
      <w:r w:rsidRPr="002B3AF9">
        <w:rPr>
          <w:rFonts w:cs="Times New Roman"/>
          <w:color w:val="000000" w:themeColor="text1"/>
        </w:rPr>
        <w:t>.</w:t>
      </w:r>
    </w:p>
    <w:p w14:paraId="456AD70D" w14:textId="227F53D1"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Ferreira, J. M. (2021). What if we look at the body? An embodied perspective of collaborative learning. </w:t>
      </w:r>
      <w:r w:rsidRPr="002B3AF9">
        <w:rPr>
          <w:rFonts w:cs="Times New Roman"/>
          <w:i/>
          <w:iCs/>
          <w:color w:val="000000" w:themeColor="text1"/>
        </w:rPr>
        <w:t>Educational Psychology Review</w:t>
      </w:r>
      <w:r w:rsidRPr="002B3AF9">
        <w:rPr>
          <w:rFonts w:cs="Times New Roman"/>
          <w:color w:val="000000" w:themeColor="text1"/>
        </w:rPr>
        <w:t xml:space="preserve">, </w:t>
      </w:r>
      <w:r w:rsidRPr="002B3AF9">
        <w:rPr>
          <w:rFonts w:cs="Times New Roman"/>
          <w:i/>
          <w:iCs/>
          <w:color w:val="000000" w:themeColor="text1"/>
        </w:rPr>
        <w:t>33</w:t>
      </w:r>
      <w:r w:rsidRPr="002B3AF9">
        <w:rPr>
          <w:rFonts w:cs="Times New Roman"/>
          <w:color w:val="000000" w:themeColor="text1"/>
        </w:rPr>
        <w:t>(4)</w:t>
      </w:r>
      <w:r w:rsidR="00E55D81">
        <w:rPr>
          <w:rFonts w:cs="Times New Roman"/>
          <w:color w:val="000000" w:themeColor="text1"/>
        </w:rPr>
        <w:t>:</w:t>
      </w:r>
      <w:r w:rsidRPr="002B3AF9">
        <w:rPr>
          <w:rFonts w:cs="Times New Roman"/>
          <w:color w:val="000000" w:themeColor="text1"/>
        </w:rPr>
        <w:t xml:space="preserve"> 1455–1473. </w:t>
      </w:r>
      <w:hyperlink r:id="rId21" w:history="1">
        <w:r w:rsidR="002B3AF9" w:rsidRPr="002B3AF9">
          <w:rPr>
            <w:rStyle w:val="Hyperlink"/>
            <w:rFonts w:cs="Times New Roman"/>
            <w:color w:val="000000" w:themeColor="text1"/>
          </w:rPr>
          <w:t>https://doi.org/10.1007/s10648-021-09607-8</w:t>
        </w:r>
      </w:hyperlink>
      <w:r w:rsidR="002B3AF9" w:rsidRPr="002B3AF9">
        <w:rPr>
          <w:rFonts w:cs="Times New Roman"/>
          <w:color w:val="000000" w:themeColor="text1"/>
        </w:rPr>
        <w:t xml:space="preserve"> </w:t>
      </w:r>
    </w:p>
    <w:p w14:paraId="27C7E7AD" w14:textId="6F4CDDB6" w:rsidR="00E55D81" w:rsidRDefault="009A342D" w:rsidP="008251C1">
      <w:pPr>
        <w:pStyle w:val="Bibliography"/>
        <w:spacing w:after="0"/>
        <w:rPr>
          <w:rFonts w:cs="Times New Roman"/>
          <w:color w:val="000000" w:themeColor="text1"/>
        </w:rPr>
      </w:pPr>
      <w:r w:rsidRPr="002B3AF9">
        <w:rPr>
          <w:rFonts w:cs="Times New Roman"/>
          <w:color w:val="000000" w:themeColor="text1"/>
        </w:rPr>
        <w:t>Gaston-</w:t>
      </w:r>
      <w:proofErr w:type="spellStart"/>
      <w:r w:rsidRPr="002B3AF9">
        <w:rPr>
          <w:rFonts w:cs="Times New Roman"/>
          <w:color w:val="000000" w:themeColor="text1"/>
        </w:rPr>
        <w:t>Dousel</w:t>
      </w:r>
      <w:proofErr w:type="spellEnd"/>
      <w:r w:rsidRPr="002B3AF9">
        <w:rPr>
          <w:rFonts w:cs="Times New Roman"/>
          <w:color w:val="000000" w:themeColor="text1"/>
        </w:rPr>
        <w:t xml:space="preserve">, E. G. (2011). Interfacing theology, culture, and the </w:t>
      </w:r>
      <w:r w:rsidR="00046637">
        <w:rPr>
          <w:rFonts w:cs="Times New Roman"/>
          <w:color w:val="000000" w:themeColor="text1"/>
        </w:rPr>
        <w:t>E</w:t>
      </w:r>
      <w:r w:rsidRPr="002B3AF9">
        <w:rPr>
          <w:rFonts w:cs="Times New Roman"/>
          <w:color w:val="000000" w:themeColor="text1"/>
        </w:rPr>
        <w:t xml:space="preserve">nglish language. </w:t>
      </w:r>
      <w:r w:rsidRPr="002B3AF9">
        <w:rPr>
          <w:rFonts w:cs="Times New Roman"/>
          <w:i/>
          <w:iCs/>
          <w:color w:val="000000" w:themeColor="text1"/>
        </w:rPr>
        <w:t>Education Quarterly</w:t>
      </w:r>
      <w:r w:rsidRPr="002B3AF9">
        <w:rPr>
          <w:rFonts w:cs="Times New Roman"/>
          <w:color w:val="000000" w:themeColor="text1"/>
        </w:rPr>
        <w:t xml:space="preserve">, </w:t>
      </w:r>
      <w:r w:rsidRPr="002B3AF9">
        <w:rPr>
          <w:rFonts w:cs="Times New Roman"/>
          <w:i/>
          <w:iCs/>
          <w:color w:val="000000" w:themeColor="text1"/>
        </w:rPr>
        <w:t>69</w:t>
      </w:r>
      <w:r w:rsidRPr="002B3AF9">
        <w:rPr>
          <w:rFonts w:cs="Times New Roman"/>
          <w:color w:val="000000" w:themeColor="text1"/>
        </w:rPr>
        <w:t>(1)</w:t>
      </w:r>
      <w:r w:rsidR="00E55D81">
        <w:rPr>
          <w:rFonts w:cs="Times New Roman"/>
          <w:color w:val="000000" w:themeColor="text1"/>
        </w:rPr>
        <w:t>:</w:t>
      </w:r>
      <w:r w:rsidRPr="002B3AF9">
        <w:rPr>
          <w:rFonts w:cs="Times New Roman"/>
          <w:color w:val="000000" w:themeColor="text1"/>
        </w:rPr>
        <w:t xml:space="preserve"> 50–71.</w:t>
      </w:r>
    </w:p>
    <w:p w14:paraId="2EC8D462" w14:textId="5DE7FC53" w:rsidR="009A342D" w:rsidRPr="002B3AF9" w:rsidRDefault="009A342D" w:rsidP="008251C1">
      <w:pPr>
        <w:pStyle w:val="Bibliography"/>
        <w:ind w:left="360" w:firstLine="0"/>
        <w:rPr>
          <w:rFonts w:cs="Times New Roman"/>
          <w:color w:val="000000" w:themeColor="text1"/>
        </w:rPr>
      </w:pPr>
      <w:r w:rsidRPr="002B3AF9">
        <w:rPr>
          <w:rFonts w:cs="Times New Roman"/>
          <w:color w:val="000000" w:themeColor="text1"/>
        </w:rPr>
        <w:t xml:space="preserve"> </w:t>
      </w:r>
      <w:hyperlink r:id="rId22" w:history="1">
        <w:r w:rsidR="002B3AF9" w:rsidRPr="002B3AF9">
          <w:rPr>
            <w:rStyle w:val="Hyperlink"/>
            <w:rFonts w:cs="Times New Roman"/>
            <w:color w:val="000000" w:themeColor="text1"/>
          </w:rPr>
          <w:t>https://www.journals.upd.edu.ph/index.php/edq/article/view/2904/2678</w:t>
        </w:r>
      </w:hyperlink>
      <w:r w:rsidR="002B3AF9" w:rsidRPr="002B3AF9">
        <w:rPr>
          <w:rFonts w:cs="Times New Roman"/>
          <w:color w:val="000000" w:themeColor="text1"/>
        </w:rPr>
        <w:t xml:space="preserve"> </w:t>
      </w:r>
    </w:p>
    <w:p w14:paraId="69887217" w14:textId="0AA088D9"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Gibbons, A. S. (2020). What is instructional strategy? Seeking hidden dimensions. </w:t>
      </w:r>
      <w:r w:rsidRPr="002B3AF9">
        <w:rPr>
          <w:rFonts w:cs="Times New Roman"/>
          <w:i/>
          <w:iCs/>
          <w:color w:val="000000" w:themeColor="text1"/>
        </w:rPr>
        <w:t>Educational Technology Research and Development</w:t>
      </w:r>
      <w:r w:rsidRPr="002B3AF9">
        <w:rPr>
          <w:rFonts w:cs="Times New Roman"/>
          <w:color w:val="000000" w:themeColor="text1"/>
        </w:rPr>
        <w:t xml:space="preserve">, </w:t>
      </w:r>
      <w:r w:rsidRPr="002B3AF9">
        <w:rPr>
          <w:rFonts w:cs="Times New Roman"/>
          <w:i/>
          <w:iCs/>
          <w:color w:val="000000" w:themeColor="text1"/>
        </w:rPr>
        <w:t>68</w:t>
      </w:r>
      <w:r w:rsidRPr="002B3AF9">
        <w:rPr>
          <w:rFonts w:cs="Times New Roman"/>
          <w:color w:val="000000" w:themeColor="text1"/>
        </w:rPr>
        <w:t>(6)</w:t>
      </w:r>
      <w:r w:rsidR="00E55D81">
        <w:rPr>
          <w:rFonts w:cs="Times New Roman"/>
          <w:color w:val="000000" w:themeColor="text1"/>
        </w:rPr>
        <w:t>:</w:t>
      </w:r>
      <w:r w:rsidRPr="002B3AF9">
        <w:rPr>
          <w:rFonts w:cs="Times New Roman"/>
          <w:color w:val="000000" w:themeColor="text1"/>
        </w:rPr>
        <w:t xml:space="preserve"> 2799–2815. </w:t>
      </w:r>
      <w:hyperlink r:id="rId23" w:history="1">
        <w:r w:rsidR="002B3AF9" w:rsidRPr="002B3AF9">
          <w:rPr>
            <w:rStyle w:val="Hyperlink"/>
            <w:rFonts w:cs="Times New Roman"/>
            <w:color w:val="000000" w:themeColor="text1"/>
          </w:rPr>
          <w:t>https://doi.org/10.1007/s11423-020-09820-2</w:t>
        </w:r>
      </w:hyperlink>
      <w:r w:rsidR="002B3AF9" w:rsidRPr="002B3AF9">
        <w:rPr>
          <w:rFonts w:cs="Times New Roman"/>
          <w:color w:val="000000" w:themeColor="text1"/>
        </w:rPr>
        <w:t xml:space="preserve"> </w:t>
      </w:r>
    </w:p>
    <w:p w14:paraId="328DC8ED" w14:textId="5E78E0DC"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Hofstede, G., Hofstede, G. J., &amp; Minkov, M. (2010). </w:t>
      </w:r>
      <w:r w:rsidRPr="002B3AF9">
        <w:rPr>
          <w:rFonts w:cs="Times New Roman"/>
          <w:i/>
          <w:iCs/>
          <w:color w:val="000000" w:themeColor="text1"/>
        </w:rPr>
        <w:t>Cultures and organizations: Software of the mind; intercultural cooperation and its importance for survival</w:t>
      </w:r>
      <w:r w:rsidR="00E55D81">
        <w:rPr>
          <w:rFonts w:cs="Times New Roman"/>
          <w:color w:val="000000" w:themeColor="text1"/>
        </w:rPr>
        <w:t>.</w:t>
      </w:r>
      <w:r w:rsidRPr="002B3AF9">
        <w:rPr>
          <w:rFonts w:cs="Times New Roman"/>
          <w:color w:val="000000" w:themeColor="text1"/>
        </w:rPr>
        <w:t xml:space="preserve"> Rev. and expanded 3</w:t>
      </w:r>
      <w:r w:rsidR="00E55D81">
        <w:rPr>
          <w:rFonts w:cs="Times New Roman"/>
          <w:color w:val="000000" w:themeColor="text1"/>
        </w:rPr>
        <w:t>rd</w:t>
      </w:r>
      <w:r w:rsidRPr="002B3AF9">
        <w:rPr>
          <w:rFonts w:cs="Times New Roman"/>
          <w:color w:val="000000" w:themeColor="text1"/>
        </w:rPr>
        <w:t xml:space="preserve"> ed. McGraw-Hill.</w:t>
      </w:r>
    </w:p>
    <w:p w14:paraId="04620D82" w14:textId="77777777"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Johnson, D. W. (2017). </w:t>
      </w:r>
      <w:r w:rsidRPr="002B3AF9">
        <w:rPr>
          <w:rFonts w:cs="Times New Roman"/>
          <w:i/>
          <w:iCs/>
          <w:color w:val="000000" w:themeColor="text1"/>
        </w:rPr>
        <w:t>Together: Group Theory and Group Skills</w:t>
      </w:r>
      <w:r w:rsidRPr="002B3AF9">
        <w:rPr>
          <w:rFonts w:cs="Times New Roman"/>
          <w:color w:val="000000" w:themeColor="text1"/>
        </w:rPr>
        <w:t>. Pearson.</w:t>
      </w:r>
    </w:p>
    <w:p w14:paraId="40ACECCC" w14:textId="013C34FB"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Johnson-Miller, B. C. &amp; Espinoza, B. D. (2018). Catechesis, </w:t>
      </w:r>
      <w:proofErr w:type="spellStart"/>
      <w:r w:rsidRPr="002B3AF9">
        <w:rPr>
          <w:rFonts w:cs="Times New Roman"/>
          <w:color w:val="000000" w:themeColor="text1"/>
        </w:rPr>
        <w:t>mystagogy</w:t>
      </w:r>
      <w:proofErr w:type="spellEnd"/>
      <w:r w:rsidRPr="002B3AF9">
        <w:rPr>
          <w:rFonts w:cs="Times New Roman"/>
          <w:color w:val="000000" w:themeColor="text1"/>
        </w:rPr>
        <w:t xml:space="preserve">, and pedagogy: Continuing the conversation. </w:t>
      </w:r>
      <w:r w:rsidRPr="002B3AF9">
        <w:rPr>
          <w:rFonts w:cs="Times New Roman"/>
          <w:i/>
          <w:iCs/>
          <w:color w:val="000000" w:themeColor="text1"/>
        </w:rPr>
        <w:t>Christian Education Journal: Research on Educational Ministry</w:t>
      </w:r>
      <w:r w:rsidRPr="002B3AF9">
        <w:rPr>
          <w:rFonts w:cs="Times New Roman"/>
          <w:color w:val="000000" w:themeColor="text1"/>
        </w:rPr>
        <w:t xml:space="preserve">, </w:t>
      </w:r>
      <w:r w:rsidRPr="002B3AF9">
        <w:rPr>
          <w:rFonts w:cs="Times New Roman"/>
          <w:i/>
          <w:iCs/>
          <w:color w:val="000000" w:themeColor="text1"/>
        </w:rPr>
        <w:t>15</w:t>
      </w:r>
      <w:r w:rsidRPr="002B3AF9">
        <w:rPr>
          <w:rFonts w:cs="Times New Roman"/>
          <w:color w:val="000000" w:themeColor="text1"/>
        </w:rPr>
        <w:t>(2)</w:t>
      </w:r>
      <w:r w:rsidR="00E55D81">
        <w:rPr>
          <w:rFonts w:cs="Times New Roman"/>
          <w:color w:val="000000" w:themeColor="text1"/>
        </w:rPr>
        <w:t>:</w:t>
      </w:r>
      <w:r w:rsidRPr="002B3AF9">
        <w:rPr>
          <w:rFonts w:cs="Times New Roman"/>
          <w:color w:val="000000" w:themeColor="text1"/>
        </w:rPr>
        <w:t xml:space="preserve"> 156–170. </w:t>
      </w:r>
      <w:hyperlink r:id="rId24" w:history="1">
        <w:r w:rsidR="002B3AF9" w:rsidRPr="002B3AF9">
          <w:rPr>
            <w:rStyle w:val="Hyperlink"/>
            <w:rFonts w:cs="Times New Roman"/>
            <w:color w:val="000000" w:themeColor="text1"/>
          </w:rPr>
          <w:t>https://doi.org/10.1177/0739891318761673</w:t>
        </w:r>
      </w:hyperlink>
      <w:r w:rsidR="002B3AF9" w:rsidRPr="002B3AF9">
        <w:rPr>
          <w:rFonts w:cs="Times New Roman"/>
          <w:color w:val="000000" w:themeColor="text1"/>
        </w:rPr>
        <w:t xml:space="preserve"> </w:t>
      </w:r>
    </w:p>
    <w:p w14:paraId="45052D45" w14:textId="77777777"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Kolb, D. A. (1984). </w:t>
      </w:r>
      <w:r w:rsidRPr="002B3AF9">
        <w:rPr>
          <w:rFonts w:cs="Times New Roman"/>
          <w:i/>
          <w:iCs/>
          <w:color w:val="000000" w:themeColor="text1"/>
        </w:rPr>
        <w:t>Experiential learning: Experience as the source of learning and development</w:t>
      </w:r>
      <w:r w:rsidRPr="002B3AF9">
        <w:rPr>
          <w:rFonts w:cs="Times New Roman"/>
          <w:color w:val="000000" w:themeColor="text1"/>
        </w:rPr>
        <w:t>. Prentice-Hall.</w:t>
      </w:r>
    </w:p>
    <w:p w14:paraId="72A67DC4" w14:textId="76973BF4"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Lave, J. (Ed.). (2009). The practice of learning. In </w:t>
      </w:r>
      <w:r w:rsidRPr="002B3AF9">
        <w:rPr>
          <w:rFonts w:cs="Times New Roman"/>
          <w:i/>
          <w:iCs/>
          <w:color w:val="000000" w:themeColor="text1"/>
        </w:rPr>
        <w:t xml:space="preserve">Contemporary theories of learning: Learning theorists </w:t>
      </w:r>
      <w:r w:rsidR="00E55D81">
        <w:rPr>
          <w:rFonts w:cs="Times New Roman"/>
          <w:i/>
          <w:iCs/>
          <w:color w:val="000000" w:themeColor="text1"/>
        </w:rPr>
        <w:t>…</w:t>
      </w:r>
      <w:r w:rsidRPr="002B3AF9">
        <w:rPr>
          <w:rFonts w:cs="Times New Roman"/>
          <w:i/>
          <w:iCs/>
          <w:color w:val="000000" w:themeColor="text1"/>
        </w:rPr>
        <w:t xml:space="preserve"> In their own words</w:t>
      </w:r>
      <w:r w:rsidR="00E55D81">
        <w:rPr>
          <w:rFonts w:cs="Times New Roman"/>
          <w:color w:val="000000" w:themeColor="text1"/>
        </w:rPr>
        <w:t>.</w:t>
      </w:r>
      <w:r w:rsidRPr="002B3AF9">
        <w:rPr>
          <w:rFonts w:cs="Times New Roman"/>
          <w:color w:val="000000" w:themeColor="text1"/>
        </w:rPr>
        <w:t xml:space="preserve"> 1st ed. Routledge</w:t>
      </w:r>
      <w:r w:rsidR="00E55D81">
        <w:rPr>
          <w:rFonts w:cs="Times New Roman"/>
          <w:color w:val="000000" w:themeColor="text1"/>
        </w:rPr>
        <w:t>, 200-208</w:t>
      </w:r>
      <w:r w:rsidRPr="002B3AF9">
        <w:rPr>
          <w:rFonts w:cs="Times New Roman"/>
          <w:color w:val="000000" w:themeColor="text1"/>
        </w:rPr>
        <w:t>.</w:t>
      </w:r>
    </w:p>
    <w:p w14:paraId="7833AFE7" w14:textId="22E40949"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Lingenfelter, J. (2001). Training future leaders in our classrooms. </w:t>
      </w:r>
      <w:r w:rsidRPr="002B3AF9">
        <w:rPr>
          <w:rFonts w:cs="Times New Roman"/>
          <w:i/>
          <w:iCs/>
          <w:color w:val="000000" w:themeColor="text1"/>
        </w:rPr>
        <w:t>Missiology: An International Review</w:t>
      </w:r>
      <w:r w:rsidRPr="002B3AF9">
        <w:rPr>
          <w:rFonts w:cs="Times New Roman"/>
          <w:color w:val="000000" w:themeColor="text1"/>
        </w:rPr>
        <w:t xml:space="preserve">, </w:t>
      </w:r>
      <w:r w:rsidRPr="002B3AF9">
        <w:rPr>
          <w:rFonts w:cs="Times New Roman"/>
          <w:i/>
          <w:iCs/>
          <w:color w:val="000000" w:themeColor="text1"/>
        </w:rPr>
        <w:t>29</w:t>
      </w:r>
      <w:r w:rsidRPr="002B3AF9">
        <w:rPr>
          <w:rFonts w:cs="Times New Roman"/>
          <w:color w:val="000000" w:themeColor="text1"/>
        </w:rPr>
        <w:t>(4)</w:t>
      </w:r>
      <w:r w:rsidR="00E55D81">
        <w:rPr>
          <w:rFonts w:cs="Times New Roman"/>
          <w:color w:val="000000" w:themeColor="text1"/>
        </w:rPr>
        <w:t>:</w:t>
      </w:r>
      <w:r w:rsidRPr="002B3AF9">
        <w:rPr>
          <w:rFonts w:cs="Times New Roman"/>
          <w:color w:val="000000" w:themeColor="text1"/>
        </w:rPr>
        <w:t xml:space="preserve"> 449–459. </w:t>
      </w:r>
      <w:hyperlink r:id="rId25" w:history="1">
        <w:r w:rsidR="002B3AF9" w:rsidRPr="002B3AF9">
          <w:rPr>
            <w:rStyle w:val="Hyperlink"/>
            <w:rFonts w:cs="Times New Roman"/>
            <w:color w:val="000000" w:themeColor="text1"/>
          </w:rPr>
          <w:t>https://doi.org/10.1177/009182960102900404</w:t>
        </w:r>
      </w:hyperlink>
      <w:r w:rsidR="002B3AF9" w:rsidRPr="002B3AF9">
        <w:rPr>
          <w:rFonts w:cs="Times New Roman"/>
          <w:color w:val="000000" w:themeColor="text1"/>
        </w:rPr>
        <w:t xml:space="preserve"> </w:t>
      </w:r>
    </w:p>
    <w:p w14:paraId="71F019BD" w14:textId="0D975247"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Lingenfelter, J. &amp; Lingenfelter, S. G. (2003). </w:t>
      </w:r>
      <w:r w:rsidRPr="002B3AF9">
        <w:rPr>
          <w:rFonts w:cs="Times New Roman"/>
          <w:i/>
          <w:iCs/>
          <w:color w:val="000000" w:themeColor="text1"/>
        </w:rPr>
        <w:t>Teaching cross-culturally: An incarnation model for learning and teaching</w:t>
      </w:r>
      <w:r w:rsidRPr="002B3AF9">
        <w:rPr>
          <w:rFonts w:cs="Times New Roman"/>
          <w:color w:val="000000" w:themeColor="text1"/>
        </w:rPr>
        <w:t>. Baker Academic.</w:t>
      </w:r>
    </w:p>
    <w:p w14:paraId="23186C5C" w14:textId="214502EC"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Madinger, C. (2017). Applications of the orality discussion. </w:t>
      </w:r>
      <w:r w:rsidRPr="002B3AF9">
        <w:rPr>
          <w:rFonts w:cs="Times New Roman"/>
          <w:i/>
          <w:iCs/>
          <w:color w:val="000000" w:themeColor="text1"/>
        </w:rPr>
        <w:t>Evangelical Missions Quarterly</w:t>
      </w:r>
      <w:r w:rsidRPr="002B3AF9">
        <w:rPr>
          <w:rFonts w:cs="Times New Roman"/>
          <w:color w:val="000000" w:themeColor="text1"/>
        </w:rPr>
        <w:t xml:space="preserve">, </w:t>
      </w:r>
      <w:r w:rsidRPr="002B3AF9">
        <w:rPr>
          <w:rFonts w:cs="Times New Roman"/>
          <w:i/>
          <w:iCs/>
          <w:color w:val="000000" w:themeColor="text1"/>
        </w:rPr>
        <w:t>53</w:t>
      </w:r>
      <w:r w:rsidRPr="002B3AF9">
        <w:rPr>
          <w:rFonts w:cs="Times New Roman"/>
          <w:color w:val="000000" w:themeColor="text1"/>
        </w:rPr>
        <w:t>(1)</w:t>
      </w:r>
      <w:r w:rsidR="00E55D81">
        <w:rPr>
          <w:rFonts w:cs="Times New Roman"/>
          <w:color w:val="000000" w:themeColor="text1"/>
        </w:rPr>
        <w:t>:</w:t>
      </w:r>
      <w:r w:rsidRPr="002B3AF9">
        <w:rPr>
          <w:rFonts w:cs="Times New Roman"/>
          <w:color w:val="000000" w:themeColor="text1"/>
        </w:rPr>
        <w:t xml:space="preserve"> 54–59.</w:t>
      </w:r>
    </w:p>
    <w:p w14:paraId="7B01D345" w14:textId="6F8DE38F" w:rsidR="009A342D" w:rsidRPr="002B3AF9" w:rsidRDefault="00E55D81" w:rsidP="008251C1">
      <w:pPr>
        <w:pStyle w:val="Bibliography"/>
        <w:rPr>
          <w:rFonts w:cs="Times New Roman"/>
          <w:color w:val="000000" w:themeColor="text1"/>
          <w:szCs w:val="24"/>
        </w:rPr>
      </w:pPr>
      <w:r>
        <w:rPr>
          <w:rFonts w:cs="Times New Roman"/>
          <w:color w:val="000000" w:themeColor="text1"/>
        </w:rPr>
        <w:lastRenderedPageBreak/>
        <w:t>_____</w:t>
      </w:r>
      <w:r w:rsidR="009A342D" w:rsidRPr="002B3AF9">
        <w:rPr>
          <w:rFonts w:cs="Times New Roman"/>
          <w:color w:val="000000" w:themeColor="text1"/>
        </w:rPr>
        <w:t xml:space="preserve">. (2022). </w:t>
      </w:r>
      <w:r w:rsidR="009A342D" w:rsidRPr="002B3AF9">
        <w:rPr>
          <w:rFonts w:cs="Times New Roman"/>
          <w:i/>
          <w:iCs/>
          <w:color w:val="000000" w:themeColor="text1"/>
        </w:rPr>
        <w:t>Transformative learning through oral narrative in a participatory communication context: An inquiry into radio drama-based training among Zambian caregivers of exploited chil</w:t>
      </w:r>
      <w:r w:rsidR="009A342D" w:rsidRPr="002B3AF9">
        <w:rPr>
          <w:rFonts w:cs="Times New Roman"/>
          <w:i/>
          <w:iCs/>
          <w:color w:val="000000" w:themeColor="text1"/>
          <w:szCs w:val="24"/>
        </w:rPr>
        <w:t>dren</w:t>
      </w:r>
      <w:r w:rsidR="009A342D" w:rsidRPr="002B3AF9">
        <w:rPr>
          <w:rFonts w:cs="Times New Roman"/>
          <w:color w:val="000000" w:themeColor="text1"/>
          <w:szCs w:val="24"/>
        </w:rPr>
        <w:t xml:space="preserve"> [Doctoral dissertation, University of Kentucky]. </w:t>
      </w:r>
      <w:hyperlink r:id="rId26" w:history="1">
        <w:r w:rsidR="00295D0E" w:rsidRPr="002B3AF9">
          <w:rPr>
            <w:rStyle w:val="Hyperlink"/>
            <w:rFonts w:cs="Times New Roman"/>
            <w:color w:val="000000" w:themeColor="text1"/>
            <w:szCs w:val="24"/>
          </w:rPr>
          <w:t>https://uknowledge.uky.edu/comm_etds/110</w:t>
        </w:r>
      </w:hyperlink>
    </w:p>
    <w:p w14:paraId="1AC81C85" w14:textId="0F14083C" w:rsidR="00295D0E" w:rsidRPr="002B3AF9" w:rsidRDefault="00295D0E" w:rsidP="008251C1">
      <w:pPr>
        <w:spacing w:after="160" w:line="240" w:lineRule="auto"/>
        <w:ind w:left="360" w:hanging="360"/>
        <w:rPr>
          <w:rFonts w:cs="Times New Roman"/>
          <w:color w:val="000000" w:themeColor="text1"/>
          <w:szCs w:val="24"/>
        </w:rPr>
      </w:pPr>
      <w:proofErr w:type="spellStart"/>
      <w:r w:rsidRPr="002B3AF9">
        <w:rPr>
          <w:rFonts w:ascii="Times New Roman" w:hAnsi="Times New Roman" w:cs="Times New Roman"/>
          <w:color w:val="000000" w:themeColor="text1"/>
          <w:sz w:val="24"/>
          <w:szCs w:val="24"/>
        </w:rPr>
        <w:t>Maggay</w:t>
      </w:r>
      <w:proofErr w:type="spellEnd"/>
      <w:r w:rsidRPr="002B3AF9">
        <w:rPr>
          <w:rFonts w:ascii="Times New Roman" w:hAnsi="Times New Roman" w:cs="Times New Roman"/>
          <w:color w:val="000000" w:themeColor="text1"/>
          <w:sz w:val="24"/>
          <w:szCs w:val="24"/>
        </w:rPr>
        <w:t>, M. (2023). Personal communication.</w:t>
      </w:r>
    </w:p>
    <w:p w14:paraId="1012F3B5" w14:textId="77777777" w:rsidR="009A342D" w:rsidRPr="002B3AF9" w:rsidRDefault="009A342D" w:rsidP="008251C1">
      <w:pPr>
        <w:pStyle w:val="Bibliography"/>
        <w:rPr>
          <w:rFonts w:cs="Times New Roman"/>
          <w:color w:val="000000" w:themeColor="text1"/>
        </w:rPr>
      </w:pPr>
      <w:r w:rsidRPr="002B3AF9">
        <w:rPr>
          <w:rFonts w:cs="Times New Roman"/>
          <w:color w:val="000000" w:themeColor="text1"/>
          <w:szCs w:val="24"/>
        </w:rPr>
        <w:t xml:space="preserve">Mburu, E. W. (2019). </w:t>
      </w:r>
      <w:r w:rsidRPr="002B3AF9">
        <w:rPr>
          <w:rFonts w:cs="Times New Roman"/>
          <w:i/>
          <w:iCs/>
          <w:color w:val="000000" w:themeColor="text1"/>
          <w:szCs w:val="24"/>
        </w:rPr>
        <w:t xml:space="preserve">African </w:t>
      </w:r>
      <w:r w:rsidRPr="002B3AF9">
        <w:rPr>
          <w:rFonts w:cs="Times New Roman"/>
          <w:i/>
          <w:iCs/>
          <w:color w:val="000000" w:themeColor="text1"/>
        </w:rPr>
        <w:t>hermeneutics</w:t>
      </w:r>
      <w:r w:rsidRPr="002B3AF9">
        <w:rPr>
          <w:rFonts w:cs="Times New Roman"/>
          <w:color w:val="000000" w:themeColor="text1"/>
        </w:rPr>
        <w:t xml:space="preserve">. </w:t>
      </w:r>
      <w:proofErr w:type="spellStart"/>
      <w:r w:rsidRPr="002B3AF9">
        <w:rPr>
          <w:rFonts w:cs="Times New Roman"/>
          <w:color w:val="000000" w:themeColor="text1"/>
        </w:rPr>
        <w:t>HippoBooks</w:t>
      </w:r>
      <w:proofErr w:type="spellEnd"/>
      <w:r w:rsidRPr="002B3AF9">
        <w:rPr>
          <w:rFonts w:cs="Times New Roman"/>
          <w:color w:val="000000" w:themeColor="text1"/>
        </w:rPr>
        <w:t>.</w:t>
      </w:r>
    </w:p>
    <w:p w14:paraId="421C2120" w14:textId="315FDE42"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Mercado, L. N. (2002). </w:t>
      </w:r>
      <w:proofErr w:type="spellStart"/>
      <w:r w:rsidRPr="002B3AF9">
        <w:rPr>
          <w:rFonts w:cs="Times New Roman"/>
          <w:color w:val="000000" w:themeColor="text1"/>
        </w:rPr>
        <w:t>Lakaran</w:t>
      </w:r>
      <w:proofErr w:type="spellEnd"/>
      <w:r w:rsidRPr="002B3AF9">
        <w:rPr>
          <w:rFonts w:cs="Times New Roman"/>
          <w:color w:val="000000" w:themeColor="text1"/>
        </w:rPr>
        <w:t xml:space="preserve">: A Filipino way of proclaiming </w:t>
      </w:r>
      <w:proofErr w:type="spellStart"/>
      <w:r w:rsidRPr="002B3AF9">
        <w:rPr>
          <w:rFonts w:cs="Times New Roman"/>
          <w:color w:val="000000" w:themeColor="text1"/>
        </w:rPr>
        <w:t>christ</w:t>
      </w:r>
      <w:proofErr w:type="spellEnd"/>
      <w:r w:rsidRPr="002B3AF9">
        <w:rPr>
          <w:rFonts w:cs="Times New Roman"/>
          <w:color w:val="000000" w:themeColor="text1"/>
        </w:rPr>
        <w:t xml:space="preserve">. </w:t>
      </w:r>
      <w:r w:rsidRPr="002B3AF9">
        <w:rPr>
          <w:rFonts w:cs="Times New Roman"/>
          <w:i/>
          <w:iCs/>
          <w:color w:val="000000" w:themeColor="text1"/>
        </w:rPr>
        <w:t xml:space="preserve">Studia </w:t>
      </w:r>
      <w:proofErr w:type="spellStart"/>
      <w:r w:rsidRPr="002B3AF9">
        <w:rPr>
          <w:rFonts w:cs="Times New Roman"/>
          <w:i/>
          <w:iCs/>
          <w:color w:val="000000" w:themeColor="text1"/>
        </w:rPr>
        <w:t>Missionalia</w:t>
      </w:r>
      <w:proofErr w:type="spellEnd"/>
      <w:r w:rsidRPr="002B3AF9">
        <w:rPr>
          <w:rFonts w:cs="Times New Roman"/>
          <w:color w:val="000000" w:themeColor="text1"/>
        </w:rPr>
        <w:t xml:space="preserve">, </w:t>
      </w:r>
      <w:r w:rsidRPr="002B3AF9">
        <w:rPr>
          <w:rFonts w:cs="Times New Roman"/>
          <w:i/>
          <w:iCs/>
          <w:color w:val="000000" w:themeColor="text1"/>
        </w:rPr>
        <w:t>51</w:t>
      </w:r>
      <w:r w:rsidR="00E55D81">
        <w:rPr>
          <w:rFonts w:cs="Times New Roman"/>
          <w:color w:val="000000" w:themeColor="text1"/>
        </w:rPr>
        <w:t>:</w:t>
      </w:r>
      <w:r w:rsidRPr="002B3AF9">
        <w:rPr>
          <w:rFonts w:cs="Times New Roman"/>
          <w:color w:val="000000" w:themeColor="text1"/>
        </w:rPr>
        <w:t xml:space="preserve"> 301–332. </w:t>
      </w:r>
      <w:hyperlink r:id="rId27" w:history="1">
        <w:r w:rsidR="002B3AF9" w:rsidRPr="002B3AF9">
          <w:rPr>
            <w:rStyle w:val="Hyperlink"/>
            <w:rFonts w:cs="Times New Roman"/>
            <w:color w:val="000000" w:themeColor="text1"/>
          </w:rPr>
          <w:t>https://search.ebscohost.com.oca.rizal.library.remotexs.co/login.aspx?direct=true&amp;db=edscal&amp;AN=edscal.14025747&amp;scope=site</w:t>
        </w:r>
      </w:hyperlink>
      <w:r w:rsidR="002B3AF9" w:rsidRPr="002B3AF9">
        <w:rPr>
          <w:rFonts w:cs="Times New Roman"/>
          <w:color w:val="000000" w:themeColor="text1"/>
        </w:rPr>
        <w:t xml:space="preserve"> </w:t>
      </w:r>
    </w:p>
    <w:p w14:paraId="4C2F8F35" w14:textId="77777777"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Miller, J. A. (2023). </w:t>
      </w:r>
      <w:r w:rsidRPr="002B3AF9">
        <w:rPr>
          <w:rFonts w:cs="Times New Roman"/>
          <w:i/>
          <w:iCs/>
          <w:color w:val="000000" w:themeColor="text1"/>
        </w:rPr>
        <w:t>Native knowing, western knowing, and Scripture’s knowing</w:t>
      </w:r>
      <w:r w:rsidRPr="002B3AF9">
        <w:rPr>
          <w:rFonts w:cs="Times New Roman"/>
          <w:color w:val="000000" w:themeColor="text1"/>
        </w:rPr>
        <w:t xml:space="preserve"> [Paper presentation]. Evangelical Missiological Society, Annual Meeting, Dallas, TX.</w:t>
      </w:r>
    </w:p>
    <w:p w14:paraId="5795C223" w14:textId="0006BE81"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Mohammad, N., Ma, H., &amp; </w:t>
      </w:r>
      <w:proofErr w:type="spellStart"/>
      <w:r w:rsidRPr="002B3AF9">
        <w:rPr>
          <w:rFonts w:cs="Times New Roman"/>
          <w:color w:val="000000" w:themeColor="text1"/>
        </w:rPr>
        <w:t>Akrim</w:t>
      </w:r>
      <w:proofErr w:type="spellEnd"/>
      <w:r w:rsidRPr="002B3AF9">
        <w:rPr>
          <w:rFonts w:cs="Times New Roman"/>
          <w:color w:val="000000" w:themeColor="text1"/>
        </w:rPr>
        <w:t xml:space="preserve">, A. (2023). </w:t>
      </w:r>
      <w:r w:rsidRPr="002B3AF9">
        <w:rPr>
          <w:rFonts w:cs="Times New Roman"/>
          <w:i/>
          <w:iCs/>
          <w:color w:val="000000" w:themeColor="text1"/>
        </w:rPr>
        <w:t>Examining assessment practices of K-12 public school teachers in Maguindanao province</w:t>
      </w:r>
      <w:r w:rsidRPr="002B3AF9">
        <w:rPr>
          <w:rFonts w:cs="Times New Roman"/>
          <w:color w:val="000000" w:themeColor="text1"/>
        </w:rPr>
        <w:t xml:space="preserve"> [Preprint]. In Review. </w:t>
      </w:r>
      <w:hyperlink r:id="rId28" w:history="1">
        <w:r w:rsidR="002B3AF9" w:rsidRPr="002B3AF9">
          <w:rPr>
            <w:rStyle w:val="Hyperlink"/>
            <w:rFonts w:cs="Times New Roman"/>
            <w:color w:val="000000" w:themeColor="text1"/>
          </w:rPr>
          <w:t>https://doi.org/10.21203/rs.3.rs-2960913/v1</w:t>
        </w:r>
      </w:hyperlink>
      <w:r w:rsidR="002B3AF9" w:rsidRPr="002B3AF9">
        <w:rPr>
          <w:rFonts w:cs="Times New Roman"/>
          <w:color w:val="000000" w:themeColor="text1"/>
        </w:rPr>
        <w:t xml:space="preserve"> </w:t>
      </w:r>
    </w:p>
    <w:p w14:paraId="2745A969" w14:textId="45DE66D0" w:rsidR="009A342D" w:rsidRPr="002B3AF9" w:rsidRDefault="009A342D" w:rsidP="008251C1">
      <w:pPr>
        <w:pStyle w:val="Bibliography"/>
        <w:rPr>
          <w:rFonts w:cs="Times New Roman"/>
          <w:color w:val="000000" w:themeColor="text1"/>
        </w:rPr>
      </w:pPr>
      <w:proofErr w:type="spellStart"/>
      <w:r w:rsidRPr="002B3AF9">
        <w:rPr>
          <w:rFonts w:cs="Times New Roman"/>
          <w:color w:val="000000" w:themeColor="text1"/>
        </w:rPr>
        <w:t>Newbigin</w:t>
      </w:r>
      <w:proofErr w:type="spellEnd"/>
      <w:r w:rsidRPr="002B3AF9">
        <w:rPr>
          <w:rFonts w:cs="Times New Roman"/>
          <w:color w:val="000000" w:themeColor="text1"/>
        </w:rPr>
        <w:t xml:space="preserve">, L. (1992). </w:t>
      </w:r>
      <w:r w:rsidR="007A6F96" w:rsidRPr="002B3AF9">
        <w:rPr>
          <w:rFonts w:cs="Times New Roman"/>
          <w:color w:val="000000" w:themeColor="text1"/>
        </w:rPr>
        <w:t>“</w:t>
      </w:r>
      <w:r w:rsidRPr="002B3AF9">
        <w:rPr>
          <w:rFonts w:cs="Times New Roman"/>
          <w:color w:val="000000" w:themeColor="text1"/>
        </w:rPr>
        <w:t xml:space="preserve">The Gospel and our culture: A response to Elaine Graham and Heather Walton. </w:t>
      </w:r>
      <w:r w:rsidRPr="002B3AF9">
        <w:rPr>
          <w:rFonts w:cs="Times New Roman"/>
          <w:i/>
          <w:iCs/>
          <w:color w:val="000000" w:themeColor="text1"/>
        </w:rPr>
        <w:t>Modern Churchman</w:t>
      </w:r>
      <w:r w:rsidRPr="002B3AF9">
        <w:rPr>
          <w:rFonts w:cs="Times New Roman"/>
          <w:color w:val="000000" w:themeColor="text1"/>
        </w:rPr>
        <w:t xml:space="preserve">, </w:t>
      </w:r>
      <w:r w:rsidRPr="002B3AF9">
        <w:rPr>
          <w:rFonts w:cs="Times New Roman"/>
          <w:i/>
          <w:iCs/>
          <w:color w:val="000000" w:themeColor="text1"/>
        </w:rPr>
        <w:t>34</w:t>
      </w:r>
      <w:r w:rsidRPr="002B3AF9">
        <w:rPr>
          <w:rFonts w:cs="Times New Roman"/>
          <w:color w:val="000000" w:themeColor="text1"/>
        </w:rPr>
        <w:t>(2)</w:t>
      </w:r>
      <w:r w:rsidR="00E55D81">
        <w:rPr>
          <w:rFonts w:cs="Times New Roman"/>
          <w:color w:val="000000" w:themeColor="text1"/>
        </w:rPr>
        <w:t>:</w:t>
      </w:r>
      <w:r w:rsidRPr="002B3AF9">
        <w:rPr>
          <w:rFonts w:cs="Times New Roman"/>
          <w:color w:val="000000" w:themeColor="text1"/>
        </w:rPr>
        <w:t xml:space="preserve"> 1–10. </w:t>
      </w:r>
      <w:hyperlink r:id="rId29" w:history="1">
        <w:r w:rsidR="002B3AF9" w:rsidRPr="002B3AF9">
          <w:rPr>
            <w:rStyle w:val="Hyperlink"/>
            <w:rFonts w:cs="Times New Roman"/>
            <w:color w:val="000000" w:themeColor="text1"/>
          </w:rPr>
          <w:t>https://newbigindotnet.wpengine.com/wp-content/uploads/2016/12/92goc.pdf</w:t>
        </w:r>
      </w:hyperlink>
      <w:r w:rsidR="002B3AF9" w:rsidRPr="002B3AF9">
        <w:rPr>
          <w:rFonts w:cs="Times New Roman"/>
          <w:color w:val="000000" w:themeColor="text1"/>
        </w:rPr>
        <w:t xml:space="preserve"> </w:t>
      </w:r>
    </w:p>
    <w:p w14:paraId="3680DBD0" w14:textId="77777777"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Ong, W. J. (2002). </w:t>
      </w:r>
      <w:r w:rsidRPr="002B3AF9">
        <w:rPr>
          <w:rFonts w:cs="Times New Roman"/>
          <w:i/>
          <w:iCs/>
          <w:color w:val="000000" w:themeColor="text1"/>
        </w:rPr>
        <w:t>Orality and literacy: The technologizing of the word</w:t>
      </w:r>
      <w:r w:rsidRPr="002B3AF9">
        <w:rPr>
          <w:rFonts w:cs="Times New Roman"/>
          <w:color w:val="000000" w:themeColor="text1"/>
        </w:rPr>
        <w:t>. Routledge.</w:t>
      </w:r>
    </w:p>
    <w:p w14:paraId="087D9D06" w14:textId="001B156E"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Phillips, D. (2017). </w:t>
      </w:r>
      <w:r w:rsidRPr="002B3AF9">
        <w:rPr>
          <w:rFonts w:cs="Times New Roman"/>
          <w:i/>
          <w:iCs/>
          <w:color w:val="000000" w:themeColor="text1"/>
        </w:rPr>
        <w:t>The magical science of storytelling</w:t>
      </w:r>
      <w:r w:rsidRPr="002B3AF9">
        <w:rPr>
          <w:rFonts w:cs="Times New Roman"/>
          <w:color w:val="000000" w:themeColor="text1"/>
        </w:rPr>
        <w:t xml:space="preserve">. YouTube. </w:t>
      </w:r>
      <w:hyperlink r:id="rId30" w:history="1">
        <w:r w:rsidR="002B3AF9" w:rsidRPr="002B3AF9">
          <w:rPr>
            <w:rStyle w:val="Hyperlink"/>
            <w:rFonts w:cs="Times New Roman"/>
            <w:color w:val="000000" w:themeColor="text1"/>
          </w:rPr>
          <w:t>https://www.youtube.com/watch?v=Nj-hdQMa3uA</w:t>
        </w:r>
      </w:hyperlink>
      <w:r w:rsidR="002B3AF9" w:rsidRPr="002B3AF9">
        <w:rPr>
          <w:rFonts w:cs="Times New Roman"/>
          <w:color w:val="000000" w:themeColor="text1"/>
        </w:rPr>
        <w:t xml:space="preserve"> </w:t>
      </w:r>
    </w:p>
    <w:p w14:paraId="55FD9637" w14:textId="2A11C49A" w:rsidR="009A342D" w:rsidRPr="002B3AF9" w:rsidRDefault="009A342D" w:rsidP="008251C1">
      <w:pPr>
        <w:pStyle w:val="Bibliography"/>
        <w:rPr>
          <w:rFonts w:cs="Times New Roman"/>
          <w:color w:val="000000" w:themeColor="text1"/>
        </w:rPr>
      </w:pPr>
      <w:proofErr w:type="spellStart"/>
      <w:r w:rsidRPr="002B3AF9">
        <w:rPr>
          <w:rFonts w:cs="Times New Roman"/>
          <w:color w:val="000000" w:themeColor="text1"/>
        </w:rPr>
        <w:t>Saiyasak</w:t>
      </w:r>
      <w:proofErr w:type="spellEnd"/>
      <w:r w:rsidRPr="002B3AF9">
        <w:rPr>
          <w:rFonts w:cs="Times New Roman"/>
          <w:color w:val="000000" w:themeColor="text1"/>
        </w:rPr>
        <w:t xml:space="preserve">, C. (2023). Presenting the gospel message in alignment with the Asian learning mode and style in the context of interpersonal relationships. </w:t>
      </w:r>
      <w:r w:rsidRPr="002B3AF9">
        <w:rPr>
          <w:rFonts w:cs="Times New Roman"/>
          <w:i/>
          <w:iCs/>
          <w:color w:val="000000" w:themeColor="text1"/>
        </w:rPr>
        <w:t>Asian Missions Advance</w:t>
      </w:r>
      <w:r w:rsidRPr="002B3AF9">
        <w:rPr>
          <w:rFonts w:cs="Times New Roman"/>
          <w:color w:val="000000" w:themeColor="text1"/>
        </w:rPr>
        <w:t xml:space="preserve">, </w:t>
      </w:r>
      <w:r w:rsidRPr="002B3AF9">
        <w:rPr>
          <w:rFonts w:cs="Times New Roman"/>
          <w:i/>
          <w:iCs/>
          <w:color w:val="000000" w:themeColor="text1"/>
        </w:rPr>
        <w:t>29</w:t>
      </w:r>
      <w:r w:rsidRPr="002B3AF9">
        <w:rPr>
          <w:rFonts w:cs="Times New Roman"/>
          <w:color w:val="000000" w:themeColor="text1"/>
        </w:rPr>
        <w:t>(4)</w:t>
      </w:r>
      <w:r w:rsidR="00E55D81">
        <w:rPr>
          <w:rFonts w:cs="Times New Roman"/>
          <w:color w:val="000000" w:themeColor="text1"/>
        </w:rPr>
        <w:t>:</w:t>
      </w:r>
      <w:r w:rsidRPr="002B3AF9">
        <w:rPr>
          <w:rFonts w:cs="Times New Roman"/>
          <w:color w:val="000000" w:themeColor="text1"/>
        </w:rPr>
        <w:t xml:space="preserve"> 1–8. </w:t>
      </w:r>
      <w:hyperlink r:id="rId31" w:history="1">
        <w:r w:rsidR="002B3AF9" w:rsidRPr="002B3AF9">
          <w:rPr>
            <w:rStyle w:val="Hyperlink"/>
            <w:rFonts w:cs="Times New Roman"/>
            <w:color w:val="000000" w:themeColor="text1"/>
          </w:rPr>
          <w:t>https://www.asiamissions.net/wp-content/uploads/2023/10/ChansamoneSaiyasak.pdf</w:t>
        </w:r>
      </w:hyperlink>
      <w:r w:rsidR="002B3AF9" w:rsidRPr="002B3AF9">
        <w:rPr>
          <w:rFonts w:cs="Times New Roman"/>
          <w:color w:val="000000" w:themeColor="text1"/>
        </w:rPr>
        <w:t xml:space="preserve"> </w:t>
      </w:r>
    </w:p>
    <w:p w14:paraId="7C78AE2B" w14:textId="0DD74D61"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Savage, J. (1996). </w:t>
      </w:r>
      <w:r w:rsidRPr="002B3AF9">
        <w:rPr>
          <w:rFonts w:cs="Times New Roman"/>
          <w:i/>
          <w:iCs/>
          <w:color w:val="000000" w:themeColor="text1"/>
        </w:rPr>
        <w:t>Listening &amp; caring skills: A guide for groups and leaders</w:t>
      </w:r>
      <w:r w:rsidRPr="002B3AF9">
        <w:rPr>
          <w:rFonts w:cs="Times New Roman"/>
          <w:color w:val="000000" w:themeColor="text1"/>
        </w:rPr>
        <w:t xml:space="preserve">. Abingdon Press. </w:t>
      </w:r>
      <w:hyperlink r:id="rId32" w:history="1">
        <w:r w:rsidR="002B3AF9" w:rsidRPr="002B3AF9">
          <w:rPr>
            <w:rStyle w:val="Hyperlink"/>
            <w:rFonts w:cs="Times New Roman"/>
            <w:color w:val="000000" w:themeColor="text1"/>
          </w:rPr>
          <w:t>https://archive.org/details/listeningcarings0000sava</w:t>
        </w:r>
      </w:hyperlink>
      <w:r w:rsidR="002B3AF9" w:rsidRPr="002B3AF9">
        <w:rPr>
          <w:rFonts w:cs="Times New Roman"/>
          <w:color w:val="000000" w:themeColor="text1"/>
        </w:rPr>
        <w:t xml:space="preserve"> </w:t>
      </w:r>
    </w:p>
    <w:p w14:paraId="3CBEA0EE" w14:textId="06AFFECC"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Shaw, P. (2021). Communication, language, and cross-cultural teaching. In R. Kassis &amp; M. A. Ortiz (Eds.), </w:t>
      </w:r>
      <w:r w:rsidRPr="002B3AF9">
        <w:rPr>
          <w:rFonts w:cs="Times New Roman"/>
          <w:i/>
          <w:iCs/>
          <w:color w:val="000000" w:themeColor="text1"/>
        </w:rPr>
        <w:t>Teaching across cultures: A global Christian perspective</w:t>
      </w:r>
      <w:r w:rsidRPr="002B3AF9">
        <w:rPr>
          <w:rFonts w:cs="Times New Roman"/>
          <w:color w:val="000000" w:themeColor="text1"/>
        </w:rPr>
        <w:t>. Langham Creative Projects</w:t>
      </w:r>
      <w:r w:rsidR="00E55D81">
        <w:rPr>
          <w:rFonts w:cs="Times New Roman"/>
          <w:color w:val="000000" w:themeColor="text1"/>
        </w:rPr>
        <w:t>, 47-61</w:t>
      </w:r>
      <w:r w:rsidRPr="002B3AF9">
        <w:rPr>
          <w:rFonts w:cs="Times New Roman"/>
          <w:color w:val="000000" w:themeColor="text1"/>
        </w:rPr>
        <w:t>.</w:t>
      </w:r>
    </w:p>
    <w:p w14:paraId="7830A74B" w14:textId="08CDA04E"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Silbert, L. J., Honey, C. J., Simony, E., Poeppel, D., &amp; Hasson, U. (2014). Coupled neural systems underlie the production and comprehension of naturalistic narrative speech. </w:t>
      </w:r>
      <w:r w:rsidRPr="002B3AF9">
        <w:rPr>
          <w:rFonts w:cs="Times New Roman"/>
          <w:i/>
          <w:iCs/>
          <w:color w:val="000000" w:themeColor="text1"/>
        </w:rPr>
        <w:t>Proceedings of the National Academy of Sciences</w:t>
      </w:r>
      <w:r w:rsidRPr="002B3AF9">
        <w:rPr>
          <w:rFonts w:cs="Times New Roman"/>
          <w:color w:val="000000" w:themeColor="text1"/>
        </w:rPr>
        <w:t xml:space="preserve">, </w:t>
      </w:r>
      <w:r w:rsidRPr="002B3AF9">
        <w:rPr>
          <w:rFonts w:cs="Times New Roman"/>
          <w:i/>
          <w:iCs/>
          <w:color w:val="000000" w:themeColor="text1"/>
        </w:rPr>
        <w:t>111</w:t>
      </w:r>
      <w:r w:rsidRPr="002B3AF9">
        <w:rPr>
          <w:rFonts w:cs="Times New Roman"/>
          <w:color w:val="000000" w:themeColor="text1"/>
        </w:rPr>
        <w:t xml:space="preserve">(43). </w:t>
      </w:r>
      <w:hyperlink r:id="rId33" w:history="1">
        <w:r w:rsidR="002B3AF9" w:rsidRPr="002B3AF9">
          <w:rPr>
            <w:rStyle w:val="Hyperlink"/>
            <w:rFonts w:cs="Times New Roman"/>
            <w:color w:val="000000" w:themeColor="text1"/>
          </w:rPr>
          <w:t>https://doi.org/10.1073/pnas.1323812111</w:t>
        </w:r>
      </w:hyperlink>
      <w:r w:rsidR="002B3AF9" w:rsidRPr="002B3AF9">
        <w:rPr>
          <w:rFonts w:cs="Times New Roman"/>
          <w:color w:val="000000" w:themeColor="text1"/>
        </w:rPr>
        <w:t xml:space="preserve"> </w:t>
      </w:r>
    </w:p>
    <w:p w14:paraId="7D8EEA78" w14:textId="28CE9879"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Song, M. (2006). Contextualization and discipleship: Closing the gap between theory and practice. </w:t>
      </w:r>
      <w:r w:rsidRPr="002B3AF9">
        <w:rPr>
          <w:rFonts w:cs="Times New Roman"/>
          <w:i/>
          <w:iCs/>
          <w:color w:val="000000" w:themeColor="text1"/>
        </w:rPr>
        <w:t>Evangelical Review of Theology</w:t>
      </w:r>
      <w:r w:rsidRPr="002B3AF9">
        <w:rPr>
          <w:rFonts w:cs="Times New Roman"/>
          <w:color w:val="000000" w:themeColor="text1"/>
        </w:rPr>
        <w:t xml:space="preserve">, </w:t>
      </w:r>
      <w:r w:rsidRPr="002B3AF9">
        <w:rPr>
          <w:rFonts w:cs="Times New Roman"/>
          <w:i/>
          <w:iCs/>
          <w:color w:val="000000" w:themeColor="text1"/>
        </w:rPr>
        <w:t>30</w:t>
      </w:r>
      <w:r w:rsidRPr="002B3AF9">
        <w:rPr>
          <w:rFonts w:cs="Times New Roman"/>
          <w:color w:val="000000" w:themeColor="text1"/>
        </w:rPr>
        <w:t>(3)</w:t>
      </w:r>
      <w:r w:rsidR="00E55D81">
        <w:rPr>
          <w:rFonts w:cs="Times New Roman"/>
          <w:color w:val="000000" w:themeColor="text1"/>
        </w:rPr>
        <w:t>:</w:t>
      </w:r>
      <w:r w:rsidRPr="002B3AF9">
        <w:rPr>
          <w:rFonts w:cs="Times New Roman"/>
          <w:color w:val="000000" w:themeColor="text1"/>
        </w:rPr>
        <w:t xml:space="preserve"> 249–264.</w:t>
      </w:r>
    </w:p>
    <w:p w14:paraId="6EC5F21B" w14:textId="18BC34EC"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Steffen, T. A. (2009). Evangelism lessons learned abroad that have implications at home. </w:t>
      </w:r>
      <w:r w:rsidRPr="002B3AF9">
        <w:rPr>
          <w:rFonts w:cs="Times New Roman"/>
          <w:i/>
          <w:iCs/>
          <w:color w:val="000000" w:themeColor="text1"/>
        </w:rPr>
        <w:t>Journal of the American Society for Church Growth</w:t>
      </w:r>
      <w:r w:rsidRPr="002B3AF9">
        <w:rPr>
          <w:rFonts w:cs="Times New Roman"/>
          <w:color w:val="000000" w:themeColor="text1"/>
        </w:rPr>
        <w:t xml:space="preserve">, </w:t>
      </w:r>
      <w:r w:rsidRPr="002B3AF9">
        <w:rPr>
          <w:rFonts w:cs="Times New Roman"/>
          <w:i/>
          <w:iCs/>
          <w:color w:val="000000" w:themeColor="text1"/>
        </w:rPr>
        <w:t>20</w:t>
      </w:r>
      <w:r w:rsidRPr="002B3AF9">
        <w:rPr>
          <w:rFonts w:cs="Times New Roman"/>
          <w:color w:val="000000" w:themeColor="text1"/>
        </w:rPr>
        <w:t>(1)</w:t>
      </w:r>
      <w:r w:rsidR="00E55D81">
        <w:rPr>
          <w:rFonts w:cs="Times New Roman"/>
          <w:color w:val="000000" w:themeColor="text1"/>
        </w:rPr>
        <w:t>:</w:t>
      </w:r>
      <w:r w:rsidRPr="002B3AF9">
        <w:rPr>
          <w:rFonts w:cs="Times New Roman"/>
          <w:color w:val="000000" w:themeColor="text1"/>
        </w:rPr>
        <w:t xml:space="preserve"> 107–135. </w:t>
      </w:r>
      <w:hyperlink r:id="rId34" w:history="1">
        <w:r w:rsidR="002B3AF9" w:rsidRPr="002B3AF9">
          <w:rPr>
            <w:rStyle w:val="Hyperlink"/>
            <w:rFonts w:cs="Times New Roman"/>
            <w:color w:val="000000" w:themeColor="text1"/>
          </w:rPr>
          <w:t>https://place.asburyseminary.edu/jascg/vol20/iss1/8</w:t>
        </w:r>
      </w:hyperlink>
      <w:r w:rsidR="002B3AF9" w:rsidRPr="002B3AF9">
        <w:rPr>
          <w:rFonts w:cs="Times New Roman"/>
          <w:color w:val="000000" w:themeColor="text1"/>
        </w:rPr>
        <w:t xml:space="preserve"> </w:t>
      </w:r>
    </w:p>
    <w:p w14:paraId="3AE5E108" w14:textId="77777777" w:rsidR="009A342D" w:rsidRPr="002B3AF9" w:rsidRDefault="009A342D" w:rsidP="008251C1">
      <w:pPr>
        <w:pStyle w:val="Bibliography"/>
        <w:rPr>
          <w:rFonts w:cs="Times New Roman"/>
          <w:color w:val="000000" w:themeColor="text1"/>
        </w:rPr>
      </w:pPr>
      <w:r w:rsidRPr="002B3AF9">
        <w:rPr>
          <w:rFonts w:cs="Times New Roman"/>
          <w:color w:val="000000" w:themeColor="text1"/>
        </w:rPr>
        <w:lastRenderedPageBreak/>
        <w:t xml:space="preserve">Storr, W. (2021). </w:t>
      </w:r>
      <w:r w:rsidRPr="002B3AF9">
        <w:rPr>
          <w:rFonts w:cs="Times New Roman"/>
          <w:i/>
          <w:iCs/>
          <w:color w:val="000000" w:themeColor="text1"/>
        </w:rPr>
        <w:t>The science of storytelling: Why stories make us human and how to tell them better</w:t>
      </w:r>
      <w:r w:rsidRPr="002B3AF9">
        <w:rPr>
          <w:rFonts w:cs="Times New Roman"/>
          <w:color w:val="000000" w:themeColor="text1"/>
        </w:rPr>
        <w:t>. Abrams Press.</w:t>
      </w:r>
    </w:p>
    <w:p w14:paraId="1FF6C70D" w14:textId="77777777"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Sunquist, S. (2017). </w:t>
      </w:r>
      <w:r w:rsidRPr="002B3AF9">
        <w:rPr>
          <w:rFonts w:cs="Times New Roman"/>
          <w:i/>
          <w:iCs/>
          <w:color w:val="000000" w:themeColor="text1"/>
        </w:rPr>
        <w:t>Understanding Christian mission: Participation in suffering and glory.</w:t>
      </w:r>
      <w:r w:rsidRPr="002B3AF9">
        <w:rPr>
          <w:rFonts w:cs="Times New Roman"/>
          <w:color w:val="000000" w:themeColor="text1"/>
        </w:rPr>
        <w:t xml:space="preserve"> Baker Book House.</w:t>
      </w:r>
    </w:p>
    <w:p w14:paraId="593EFAB7" w14:textId="4B2B0868"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Thigpen, L. L. (2020). </w:t>
      </w:r>
      <w:r w:rsidRPr="002B3AF9">
        <w:rPr>
          <w:rFonts w:cs="Times New Roman"/>
          <w:i/>
          <w:iCs/>
          <w:color w:val="000000" w:themeColor="text1"/>
        </w:rPr>
        <w:t>Connected learning: How adults with limited formal education learn</w:t>
      </w:r>
      <w:r w:rsidR="00E55D81">
        <w:rPr>
          <w:rFonts w:cs="Times New Roman"/>
          <w:color w:val="000000" w:themeColor="text1"/>
        </w:rPr>
        <w:t>.</w:t>
      </w:r>
      <w:r w:rsidRPr="002B3AF9">
        <w:rPr>
          <w:rFonts w:cs="Times New Roman"/>
          <w:color w:val="000000" w:themeColor="text1"/>
        </w:rPr>
        <w:t xml:space="preserve"> American Society of Missiology Monograph Book 44. Pickwick Publications.</w:t>
      </w:r>
    </w:p>
    <w:p w14:paraId="602512C6" w14:textId="6DBE4AC7" w:rsidR="009A342D" w:rsidRPr="002B3AF9" w:rsidRDefault="00E55D81" w:rsidP="008251C1">
      <w:pPr>
        <w:pStyle w:val="Bibliography"/>
        <w:rPr>
          <w:rFonts w:cs="Times New Roman"/>
          <w:color w:val="000000" w:themeColor="text1"/>
        </w:rPr>
      </w:pPr>
      <w:r>
        <w:rPr>
          <w:rFonts w:cs="Times New Roman"/>
          <w:color w:val="000000" w:themeColor="text1"/>
        </w:rPr>
        <w:t>_____</w:t>
      </w:r>
      <w:r w:rsidR="009A342D" w:rsidRPr="002B3AF9">
        <w:rPr>
          <w:rFonts w:cs="Times New Roman"/>
          <w:color w:val="000000" w:themeColor="text1"/>
        </w:rPr>
        <w:t xml:space="preserve">. (2022). Deconstructing oral learning: The latest research. In T. A. Steffen &amp; C. D. Armstrong (Eds.), </w:t>
      </w:r>
      <w:r w:rsidR="009A342D" w:rsidRPr="002B3AF9">
        <w:rPr>
          <w:rFonts w:cs="Times New Roman"/>
          <w:i/>
          <w:iCs/>
          <w:color w:val="000000" w:themeColor="text1"/>
        </w:rPr>
        <w:t>New and old horizons in the orality movement: Expanding the firm foundations</w:t>
      </w:r>
      <w:r w:rsidR="009A342D" w:rsidRPr="002B3AF9">
        <w:rPr>
          <w:rFonts w:cs="Times New Roman"/>
          <w:color w:val="000000" w:themeColor="text1"/>
        </w:rPr>
        <w:t>. Pickwick Publications</w:t>
      </w:r>
      <w:r>
        <w:rPr>
          <w:rFonts w:cs="Times New Roman"/>
          <w:color w:val="000000" w:themeColor="text1"/>
        </w:rPr>
        <w:t>, 15-45</w:t>
      </w:r>
      <w:r w:rsidR="009A342D" w:rsidRPr="002B3AF9">
        <w:rPr>
          <w:rFonts w:cs="Times New Roman"/>
          <w:color w:val="000000" w:themeColor="text1"/>
        </w:rPr>
        <w:t>.</w:t>
      </w:r>
    </w:p>
    <w:p w14:paraId="094E1D09" w14:textId="2F7D1990" w:rsidR="009A342D" w:rsidRPr="002B3AF9" w:rsidRDefault="00E55D81" w:rsidP="008251C1">
      <w:pPr>
        <w:pStyle w:val="Bibliography"/>
        <w:rPr>
          <w:rFonts w:cs="Times New Roman"/>
          <w:color w:val="000000" w:themeColor="text1"/>
        </w:rPr>
      </w:pPr>
      <w:r>
        <w:rPr>
          <w:rFonts w:cs="Times New Roman"/>
          <w:color w:val="000000" w:themeColor="text1"/>
        </w:rPr>
        <w:t>_____</w:t>
      </w:r>
      <w:r w:rsidR="009A342D" w:rsidRPr="002B3AF9">
        <w:rPr>
          <w:rFonts w:cs="Times New Roman"/>
          <w:color w:val="000000" w:themeColor="text1"/>
        </w:rPr>
        <w:t xml:space="preserve">. (2023). How a novel research framework resulted in fruitful evangelism and discovery: Introducing </w:t>
      </w:r>
      <w:proofErr w:type="spellStart"/>
      <w:r w:rsidR="009A342D" w:rsidRPr="002B3AF9">
        <w:rPr>
          <w:rFonts w:cs="Times New Roman"/>
          <w:color w:val="000000" w:themeColor="text1"/>
        </w:rPr>
        <w:t>ethnoscopy</w:t>
      </w:r>
      <w:proofErr w:type="spellEnd"/>
      <w:r w:rsidR="009A342D" w:rsidRPr="002B3AF9">
        <w:rPr>
          <w:rFonts w:cs="Times New Roman"/>
          <w:color w:val="000000" w:themeColor="text1"/>
        </w:rPr>
        <w:t xml:space="preserve"> and spiritual patronage. </w:t>
      </w:r>
      <w:r w:rsidR="009A342D" w:rsidRPr="002B3AF9">
        <w:rPr>
          <w:rFonts w:cs="Times New Roman"/>
          <w:i/>
          <w:iCs/>
          <w:color w:val="000000" w:themeColor="text1"/>
        </w:rPr>
        <w:t>Great Commission Research Journal</w:t>
      </w:r>
      <w:r w:rsidR="009A342D" w:rsidRPr="002B3AF9">
        <w:rPr>
          <w:rFonts w:cs="Times New Roman"/>
          <w:color w:val="000000" w:themeColor="text1"/>
        </w:rPr>
        <w:t xml:space="preserve">, </w:t>
      </w:r>
      <w:r w:rsidR="009A342D" w:rsidRPr="002B3AF9">
        <w:rPr>
          <w:rFonts w:cs="Times New Roman"/>
          <w:i/>
          <w:iCs/>
          <w:color w:val="000000" w:themeColor="text1"/>
        </w:rPr>
        <w:t>15</w:t>
      </w:r>
      <w:r w:rsidR="009A342D" w:rsidRPr="002B3AF9">
        <w:rPr>
          <w:rFonts w:cs="Times New Roman"/>
          <w:color w:val="000000" w:themeColor="text1"/>
        </w:rPr>
        <w:t>(2)</w:t>
      </w:r>
      <w:r>
        <w:rPr>
          <w:rFonts w:cs="Times New Roman"/>
          <w:color w:val="000000" w:themeColor="text1"/>
        </w:rPr>
        <w:t>:</w:t>
      </w:r>
      <w:r w:rsidR="009A342D" w:rsidRPr="002B3AF9">
        <w:rPr>
          <w:rFonts w:cs="Times New Roman"/>
          <w:color w:val="000000" w:themeColor="text1"/>
        </w:rPr>
        <w:t xml:space="preserve"> 25–43. </w:t>
      </w:r>
      <w:hyperlink r:id="rId35" w:history="1">
        <w:r w:rsidR="002B3AF9" w:rsidRPr="002B3AF9">
          <w:rPr>
            <w:rStyle w:val="Hyperlink"/>
            <w:rFonts w:cs="Times New Roman"/>
            <w:color w:val="000000" w:themeColor="text1"/>
          </w:rPr>
          <w:t>https://place.asburyseminary.edu/gcrj/vol15/iss2/14/</w:t>
        </w:r>
      </w:hyperlink>
      <w:r w:rsidR="002B3AF9" w:rsidRPr="002B3AF9">
        <w:rPr>
          <w:rFonts w:cs="Times New Roman"/>
          <w:color w:val="000000" w:themeColor="text1"/>
        </w:rPr>
        <w:t xml:space="preserve"> </w:t>
      </w:r>
    </w:p>
    <w:p w14:paraId="14BC935A" w14:textId="17FE3080"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Watson, D. L. &amp; Watson, P. D. (2014). </w:t>
      </w:r>
      <w:r w:rsidRPr="002B3AF9">
        <w:rPr>
          <w:rFonts w:cs="Times New Roman"/>
          <w:i/>
          <w:iCs/>
          <w:color w:val="000000" w:themeColor="text1"/>
        </w:rPr>
        <w:t>Contagious disciple-making: Leading others on a journey of discovery</w:t>
      </w:r>
      <w:r w:rsidRPr="002B3AF9">
        <w:rPr>
          <w:rFonts w:cs="Times New Roman"/>
          <w:color w:val="000000" w:themeColor="text1"/>
        </w:rPr>
        <w:t>. Thomas Nelson.</w:t>
      </w:r>
    </w:p>
    <w:p w14:paraId="216D9633" w14:textId="59BF5894"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Wenger, E. (2009). A social theory of learning. In K. Illeris (Ed.), </w:t>
      </w:r>
      <w:r w:rsidRPr="002B3AF9">
        <w:rPr>
          <w:rFonts w:cs="Times New Roman"/>
          <w:i/>
          <w:iCs/>
          <w:color w:val="000000" w:themeColor="text1"/>
        </w:rPr>
        <w:t>Contemporary theories of learning: Learning theorists ... In their own words</w:t>
      </w:r>
      <w:r w:rsidR="00E55D81">
        <w:rPr>
          <w:rFonts w:cs="Times New Roman"/>
          <w:color w:val="000000" w:themeColor="text1"/>
        </w:rPr>
        <w:t>.</w:t>
      </w:r>
      <w:r w:rsidRPr="002B3AF9">
        <w:rPr>
          <w:rFonts w:cs="Times New Roman"/>
          <w:color w:val="000000" w:themeColor="text1"/>
        </w:rPr>
        <w:t xml:space="preserve"> 1st ed. Routledge</w:t>
      </w:r>
      <w:r w:rsidR="00E55D81">
        <w:rPr>
          <w:rFonts w:cs="Times New Roman"/>
          <w:color w:val="000000" w:themeColor="text1"/>
        </w:rPr>
        <w:t>, 209-218</w:t>
      </w:r>
      <w:r w:rsidRPr="002B3AF9">
        <w:rPr>
          <w:rFonts w:cs="Times New Roman"/>
          <w:color w:val="000000" w:themeColor="text1"/>
        </w:rPr>
        <w:t>.</w:t>
      </w:r>
    </w:p>
    <w:p w14:paraId="0427E657" w14:textId="0A52117A"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Wesch, M. (2018). </w:t>
      </w:r>
      <w:r w:rsidRPr="002B3AF9">
        <w:rPr>
          <w:rFonts w:cs="Times New Roman"/>
          <w:i/>
          <w:iCs/>
          <w:color w:val="000000" w:themeColor="text1"/>
        </w:rPr>
        <w:t>The art of being human: A Textbook for cultural anthropology</w:t>
      </w:r>
      <w:r w:rsidRPr="002B3AF9">
        <w:rPr>
          <w:rFonts w:cs="Times New Roman"/>
          <w:color w:val="000000" w:themeColor="text1"/>
        </w:rPr>
        <w:t xml:space="preserve">. New Prairie Press. </w:t>
      </w:r>
      <w:hyperlink r:id="rId36" w:history="1">
        <w:r w:rsidR="002B3AF9" w:rsidRPr="002B3AF9">
          <w:rPr>
            <w:rStyle w:val="Hyperlink"/>
            <w:rFonts w:cs="Times New Roman"/>
            <w:color w:val="000000" w:themeColor="text1"/>
          </w:rPr>
          <w:t>https://newprairiepress.org/ebooks/20</w:t>
        </w:r>
      </w:hyperlink>
      <w:r w:rsidR="002B3AF9" w:rsidRPr="002B3AF9">
        <w:rPr>
          <w:rFonts w:cs="Times New Roman"/>
          <w:color w:val="000000" w:themeColor="text1"/>
        </w:rPr>
        <w:t xml:space="preserve"> </w:t>
      </w:r>
    </w:p>
    <w:p w14:paraId="09BC59D9" w14:textId="0EC51BD8" w:rsidR="009A342D" w:rsidRPr="002B3AF9" w:rsidRDefault="009A342D" w:rsidP="008251C1">
      <w:pPr>
        <w:pStyle w:val="Bibliography"/>
        <w:rPr>
          <w:rFonts w:cs="Times New Roman"/>
          <w:color w:val="000000" w:themeColor="text1"/>
        </w:rPr>
      </w:pPr>
      <w:r w:rsidRPr="002B3AF9">
        <w:rPr>
          <w:rFonts w:cs="Times New Roman"/>
          <w:color w:val="000000" w:themeColor="text1"/>
        </w:rPr>
        <w:t xml:space="preserve">Wiggins, G. P., &amp; McTighe, J. (2005). </w:t>
      </w:r>
      <w:r w:rsidRPr="002B3AF9">
        <w:rPr>
          <w:rFonts w:cs="Times New Roman"/>
          <w:i/>
          <w:iCs/>
          <w:color w:val="000000" w:themeColor="text1"/>
        </w:rPr>
        <w:t>Understanding by design</w:t>
      </w:r>
      <w:r w:rsidR="00E55D81">
        <w:rPr>
          <w:rFonts w:cs="Times New Roman"/>
          <w:color w:val="000000" w:themeColor="text1"/>
        </w:rPr>
        <w:t>.</w:t>
      </w:r>
      <w:r w:rsidRPr="002B3AF9">
        <w:rPr>
          <w:rFonts w:cs="Times New Roman"/>
          <w:color w:val="000000" w:themeColor="text1"/>
        </w:rPr>
        <w:t xml:space="preserve"> Expanded 2nd ed. Association for Supervision and Curriculum Development.</w:t>
      </w:r>
    </w:p>
    <w:p w14:paraId="0000009E" w14:textId="316889CC" w:rsidR="00961A82" w:rsidRDefault="00961A82" w:rsidP="008251C1">
      <w:pPr>
        <w:spacing w:after="160" w:line="240" w:lineRule="auto"/>
        <w:ind w:left="360" w:hanging="360"/>
        <w:rPr>
          <w:rFonts w:ascii="Times New Roman" w:eastAsia="Times New Roman" w:hAnsi="Times New Roman" w:cs="Times New Roman"/>
          <w:sz w:val="24"/>
          <w:szCs w:val="24"/>
        </w:rPr>
      </w:pPr>
    </w:p>
    <w:sectPr w:rsidR="00961A82" w:rsidSect="00A53B6B">
      <w:headerReference w:type="even" r:id="rId37"/>
      <w:headerReference w:type="default" r:id="rId38"/>
      <w:footerReference w:type="default" r:id="rId39"/>
      <w:footerReference w:type="first" r:id="rId40"/>
      <w:pgSz w:w="12240" w:h="15840"/>
      <w:pgMar w:top="1440" w:right="1440" w:bottom="1440" w:left="1440" w:header="720" w:footer="720" w:gutter="0"/>
      <w:pgNumType w:start="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B43D5" w14:textId="77777777" w:rsidR="00EE52CF" w:rsidRDefault="00EE52CF" w:rsidP="0044206A">
      <w:pPr>
        <w:spacing w:line="240" w:lineRule="auto"/>
      </w:pPr>
      <w:r>
        <w:separator/>
      </w:r>
    </w:p>
    <w:p w14:paraId="35F62A75" w14:textId="77777777" w:rsidR="00EE52CF" w:rsidRDefault="00EE52CF"/>
    <w:p w14:paraId="3FC78972" w14:textId="77777777" w:rsidR="00EE52CF" w:rsidRDefault="00EE52CF" w:rsidP="00DD2188"/>
  </w:endnote>
  <w:endnote w:type="continuationSeparator" w:id="0">
    <w:p w14:paraId="7ED30F37" w14:textId="77777777" w:rsidR="00EE52CF" w:rsidRDefault="00EE52CF" w:rsidP="0044206A">
      <w:pPr>
        <w:spacing w:line="240" w:lineRule="auto"/>
      </w:pPr>
      <w:r>
        <w:continuationSeparator/>
      </w:r>
    </w:p>
    <w:p w14:paraId="01FBB888" w14:textId="77777777" w:rsidR="00EE52CF" w:rsidRDefault="00EE52CF"/>
    <w:p w14:paraId="30E2DD26" w14:textId="77777777" w:rsidR="00EE52CF" w:rsidRDefault="00EE52CF" w:rsidP="00DD21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495E6" w14:textId="0B479C0F" w:rsidR="0044206A" w:rsidRPr="0044206A" w:rsidRDefault="00911112" w:rsidP="00911112">
    <w:pPr>
      <w:pStyle w:val="Footer"/>
      <w:jc w:val="center"/>
      <w:rPr>
        <w:rFonts w:ascii="Times New Roman" w:hAnsi="Times New Roman" w:cs="Times New Roman"/>
      </w:rP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w:t>
    </w:r>
    <w:r>
      <w:rPr>
        <w:rFonts w:ascii="Times New Roman" w:hAnsi="Times New Roman" w:cs="Times New Roman"/>
        <w:sz w:val="20"/>
        <w:szCs w:val="20"/>
      </w:rPr>
      <w:t>1</w:t>
    </w:r>
    <w:r w:rsidRPr="0044206A">
      <w:rPr>
        <w:rFonts w:ascii="Times New Roman" w:hAnsi="Times New Roman" w:cs="Times New Roman"/>
        <w:sz w:val="20"/>
        <w:szCs w:val="20"/>
      </w:rPr>
      <w:t xml:space="preserve">, No </w:t>
    </w:r>
    <w:r>
      <w:rPr>
        <w:rFonts w:ascii="Times New Roman" w:hAnsi="Times New Roman" w:cs="Times New Roman"/>
        <w:sz w:val="20"/>
        <w:szCs w:val="20"/>
      </w:rPr>
      <w:t>1</w:t>
    </w:r>
    <w:r w:rsidRPr="0044206A">
      <w:rPr>
        <w:rFonts w:ascii="Times New Roman" w:hAnsi="Times New Roman" w:cs="Times New Roman"/>
        <w:sz w:val="20"/>
        <w:szCs w:val="20"/>
      </w:rPr>
      <w:t xml:space="preserve"> (202</w:t>
    </w:r>
    <w:r>
      <w:rPr>
        <w:rFonts w:ascii="Times New Roman" w:hAnsi="Times New Roman" w:cs="Times New Roman"/>
        <w:sz w:val="20"/>
        <w:szCs w:val="20"/>
      </w:rPr>
      <w:t>4</w:t>
    </w:r>
    <w:r w:rsidRPr="0044206A">
      <w:rPr>
        <w:rFonts w:ascii="Times New Roman" w:hAnsi="Times New Roman" w:cs="Times New Roman"/>
        <w:sz w:val="20"/>
        <w:szCs w:val="20"/>
      </w:rPr>
      <w:t xml:space="preserve">) </w:t>
    </w:r>
    <w:r>
      <w:rPr>
        <w:rFonts w:ascii="Times New Roman" w:hAnsi="Times New Roman" w:cs="Times New Roman"/>
        <w:sz w:val="20"/>
        <w:szCs w:val="20"/>
      </w:rPr>
      <w:t>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C5EDE" w14:textId="17B4CB29" w:rsidR="0044206A" w:rsidRPr="0044206A" w:rsidRDefault="0044206A" w:rsidP="0044206A">
    <w:pPr>
      <w:pStyle w:val="Footer"/>
      <w:jc w:val="center"/>
      <w:rPr>
        <w:rFonts w:ascii="Times New Roman" w:hAnsi="Times New Roman" w:cs="Times New Roman"/>
      </w:rP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w:t>
    </w:r>
    <w:r w:rsidR="00911112">
      <w:rPr>
        <w:rFonts w:ascii="Times New Roman" w:hAnsi="Times New Roman" w:cs="Times New Roman"/>
        <w:sz w:val="20"/>
        <w:szCs w:val="20"/>
      </w:rPr>
      <w:t>1</w:t>
    </w:r>
    <w:r w:rsidRPr="0044206A">
      <w:rPr>
        <w:rFonts w:ascii="Times New Roman" w:hAnsi="Times New Roman" w:cs="Times New Roman"/>
        <w:sz w:val="20"/>
        <w:szCs w:val="20"/>
      </w:rPr>
      <w:t xml:space="preserve">, No </w:t>
    </w:r>
    <w:r w:rsidR="00911112">
      <w:rPr>
        <w:rFonts w:ascii="Times New Roman" w:hAnsi="Times New Roman" w:cs="Times New Roman"/>
        <w:sz w:val="20"/>
        <w:szCs w:val="20"/>
      </w:rPr>
      <w:t>1</w:t>
    </w:r>
    <w:r w:rsidRPr="0044206A">
      <w:rPr>
        <w:rFonts w:ascii="Times New Roman" w:hAnsi="Times New Roman" w:cs="Times New Roman"/>
        <w:sz w:val="20"/>
        <w:szCs w:val="20"/>
      </w:rPr>
      <w:t xml:space="preserve"> (202</w:t>
    </w:r>
    <w:r w:rsidR="00911112">
      <w:rPr>
        <w:rFonts w:ascii="Times New Roman" w:hAnsi="Times New Roman" w:cs="Times New Roman"/>
        <w:sz w:val="20"/>
        <w:szCs w:val="20"/>
      </w:rPr>
      <w:t>4</w:t>
    </w:r>
    <w:r w:rsidRPr="0044206A">
      <w:rPr>
        <w:rFonts w:ascii="Times New Roman" w:hAnsi="Times New Roman" w:cs="Times New Roman"/>
        <w:sz w:val="20"/>
        <w:szCs w:val="20"/>
      </w:rPr>
      <w:t xml:space="preserve">) </w:t>
    </w:r>
    <w:r w:rsidR="00911112">
      <w:rPr>
        <w:rFonts w:ascii="Times New Roman" w:hAnsi="Times New Roman" w:cs="Times New Roman"/>
        <w:sz w:val="20"/>
        <w:szCs w:val="20"/>
      </w:rPr>
      <w:t>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AA002" w14:textId="77777777" w:rsidR="00EE52CF" w:rsidRDefault="00EE52CF" w:rsidP="0044206A">
      <w:pPr>
        <w:spacing w:line="240" w:lineRule="auto"/>
      </w:pPr>
      <w:r>
        <w:separator/>
      </w:r>
    </w:p>
    <w:p w14:paraId="0A79376F" w14:textId="77777777" w:rsidR="00EE52CF" w:rsidRDefault="00EE52CF"/>
    <w:p w14:paraId="67505478" w14:textId="77777777" w:rsidR="00EE52CF" w:rsidRDefault="00EE52CF" w:rsidP="00DD2188"/>
  </w:footnote>
  <w:footnote w:type="continuationSeparator" w:id="0">
    <w:p w14:paraId="24F89B7A" w14:textId="77777777" w:rsidR="00EE52CF" w:rsidRDefault="00EE52CF" w:rsidP="0044206A">
      <w:pPr>
        <w:spacing w:line="240" w:lineRule="auto"/>
      </w:pPr>
      <w:r>
        <w:continuationSeparator/>
      </w:r>
    </w:p>
    <w:p w14:paraId="70715189" w14:textId="77777777" w:rsidR="00EE52CF" w:rsidRDefault="00EE52CF"/>
    <w:p w14:paraId="4651FA24" w14:textId="77777777" w:rsidR="00EE52CF" w:rsidRDefault="00EE52CF" w:rsidP="00DD21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4767975"/>
      <w:docPartObj>
        <w:docPartGallery w:val="Page Numbers (Top of Page)"/>
        <w:docPartUnique/>
      </w:docPartObj>
    </w:sdtPr>
    <w:sdtContent>
      <w:p w14:paraId="6F76F8F0" w14:textId="4B2CAF79" w:rsidR="0044206A" w:rsidRDefault="0044206A" w:rsidP="002C37B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84763">
          <w:rPr>
            <w:rStyle w:val="PageNumber"/>
            <w:noProof/>
          </w:rPr>
          <w:t>53</w:t>
        </w:r>
        <w:r>
          <w:rPr>
            <w:rStyle w:val="PageNumber"/>
          </w:rPr>
          <w:fldChar w:fldCharType="end"/>
        </w:r>
      </w:p>
    </w:sdtContent>
  </w:sdt>
  <w:p w14:paraId="1A9F61C8" w14:textId="77777777" w:rsidR="0044206A" w:rsidRDefault="0044206A" w:rsidP="0044206A">
    <w:pPr>
      <w:pStyle w:val="Header"/>
      <w:ind w:right="360"/>
    </w:pPr>
  </w:p>
  <w:p w14:paraId="7D3BC9CF" w14:textId="77777777" w:rsidR="00682A5A" w:rsidRDefault="00682A5A"/>
  <w:p w14:paraId="7419F564" w14:textId="77777777" w:rsidR="00682A5A" w:rsidRDefault="00682A5A" w:rsidP="00DD218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3953928"/>
      <w:docPartObj>
        <w:docPartGallery w:val="Page Numbers (Top of Page)"/>
        <w:docPartUnique/>
      </w:docPartObj>
    </w:sdtPr>
    <w:sdtEndPr>
      <w:rPr>
        <w:rStyle w:val="PageNumber"/>
        <w:rFonts w:ascii="Times New Roman" w:hAnsi="Times New Roman" w:cs="Times New Roman"/>
        <w:sz w:val="20"/>
        <w:szCs w:val="20"/>
      </w:rPr>
    </w:sdtEndPr>
    <w:sdtContent>
      <w:p w14:paraId="59F494E0" w14:textId="178082C4" w:rsidR="0044206A" w:rsidRPr="00911112" w:rsidRDefault="0044206A" w:rsidP="002C37BE">
        <w:pPr>
          <w:pStyle w:val="Header"/>
          <w:framePr w:wrap="none" w:vAnchor="text" w:hAnchor="margin" w:xAlign="right" w:y="1"/>
          <w:rPr>
            <w:rStyle w:val="PageNumber"/>
            <w:rFonts w:ascii="Times New Roman" w:hAnsi="Times New Roman" w:cs="Times New Roman"/>
            <w:sz w:val="20"/>
            <w:szCs w:val="20"/>
          </w:rPr>
        </w:pPr>
        <w:r w:rsidRPr="00911112">
          <w:rPr>
            <w:rStyle w:val="PageNumber"/>
            <w:rFonts w:ascii="Times New Roman" w:hAnsi="Times New Roman" w:cs="Times New Roman"/>
            <w:sz w:val="20"/>
            <w:szCs w:val="20"/>
          </w:rPr>
          <w:fldChar w:fldCharType="begin"/>
        </w:r>
        <w:r w:rsidRPr="00911112">
          <w:rPr>
            <w:rStyle w:val="PageNumber"/>
            <w:rFonts w:ascii="Times New Roman" w:hAnsi="Times New Roman" w:cs="Times New Roman"/>
            <w:sz w:val="20"/>
            <w:szCs w:val="20"/>
          </w:rPr>
          <w:instrText xml:space="preserve"> PAGE </w:instrText>
        </w:r>
        <w:r w:rsidRPr="00911112">
          <w:rPr>
            <w:rStyle w:val="PageNumber"/>
            <w:rFonts w:ascii="Times New Roman" w:hAnsi="Times New Roman" w:cs="Times New Roman"/>
            <w:sz w:val="20"/>
            <w:szCs w:val="20"/>
          </w:rPr>
          <w:fldChar w:fldCharType="separate"/>
        </w:r>
        <w:r w:rsidR="001542AB" w:rsidRPr="00911112">
          <w:rPr>
            <w:rStyle w:val="PageNumber"/>
            <w:rFonts w:ascii="Times New Roman" w:hAnsi="Times New Roman" w:cs="Times New Roman"/>
            <w:noProof/>
            <w:sz w:val="20"/>
            <w:szCs w:val="20"/>
          </w:rPr>
          <w:t>7</w:t>
        </w:r>
        <w:r w:rsidRPr="00911112">
          <w:rPr>
            <w:rStyle w:val="PageNumber"/>
            <w:rFonts w:ascii="Times New Roman" w:hAnsi="Times New Roman" w:cs="Times New Roman"/>
            <w:sz w:val="20"/>
            <w:szCs w:val="20"/>
          </w:rPr>
          <w:fldChar w:fldCharType="end"/>
        </w:r>
      </w:p>
    </w:sdtContent>
  </w:sdt>
  <w:p w14:paraId="5B40A486" w14:textId="2C4BFE8E" w:rsidR="0044206A" w:rsidRDefault="0044206A" w:rsidP="0044206A">
    <w:pPr>
      <w:pStyle w:val="Header"/>
      <w:ind w:right="360"/>
    </w:pPr>
  </w:p>
  <w:p w14:paraId="32144085" w14:textId="77777777" w:rsidR="00682A5A" w:rsidRDefault="00682A5A"/>
  <w:p w14:paraId="31A9E6DC" w14:textId="77777777" w:rsidR="00682A5A" w:rsidRDefault="00682A5A" w:rsidP="00DD218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M2MrA0NjIyMTMxMjdX0lEKTi0uzszPAykwrwUAr8xwmiwAAAA="/>
  </w:docVars>
  <w:rsids>
    <w:rsidRoot w:val="00961A82"/>
    <w:rsid w:val="0002654B"/>
    <w:rsid w:val="00030B7C"/>
    <w:rsid w:val="00046441"/>
    <w:rsid w:val="00046637"/>
    <w:rsid w:val="00053C3E"/>
    <w:rsid w:val="00060C8B"/>
    <w:rsid w:val="0006132A"/>
    <w:rsid w:val="00064BCE"/>
    <w:rsid w:val="0009374A"/>
    <w:rsid w:val="000A23A2"/>
    <w:rsid w:val="000B484D"/>
    <w:rsid w:val="000D340A"/>
    <w:rsid w:val="000E23C9"/>
    <w:rsid w:val="000E7F80"/>
    <w:rsid w:val="000F6559"/>
    <w:rsid w:val="00103417"/>
    <w:rsid w:val="00114EAC"/>
    <w:rsid w:val="001156A4"/>
    <w:rsid w:val="00130CEE"/>
    <w:rsid w:val="00131B29"/>
    <w:rsid w:val="00134DA4"/>
    <w:rsid w:val="00135124"/>
    <w:rsid w:val="0013745B"/>
    <w:rsid w:val="001542AB"/>
    <w:rsid w:val="0016366B"/>
    <w:rsid w:val="00164729"/>
    <w:rsid w:val="00175339"/>
    <w:rsid w:val="00184EF5"/>
    <w:rsid w:val="00184FA4"/>
    <w:rsid w:val="00186A7C"/>
    <w:rsid w:val="00191297"/>
    <w:rsid w:val="0019291E"/>
    <w:rsid w:val="001B42E1"/>
    <w:rsid w:val="001B6EC7"/>
    <w:rsid w:val="001C1B3A"/>
    <w:rsid w:val="001D1733"/>
    <w:rsid w:val="001D30D5"/>
    <w:rsid w:val="001D72D3"/>
    <w:rsid w:val="001E668B"/>
    <w:rsid w:val="0021087A"/>
    <w:rsid w:val="00215AF3"/>
    <w:rsid w:val="002407CE"/>
    <w:rsid w:val="002425FE"/>
    <w:rsid w:val="00247B1D"/>
    <w:rsid w:val="002628AC"/>
    <w:rsid w:val="00271C6A"/>
    <w:rsid w:val="00282863"/>
    <w:rsid w:val="002877D4"/>
    <w:rsid w:val="00295D0E"/>
    <w:rsid w:val="00296BBE"/>
    <w:rsid w:val="002B132E"/>
    <w:rsid w:val="002B3AF9"/>
    <w:rsid w:val="002B74CE"/>
    <w:rsid w:val="002C37BE"/>
    <w:rsid w:val="002E56BB"/>
    <w:rsid w:val="00301AD1"/>
    <w:rsid w:val="0031568E"/>
    <w:rsid w:val="003408A8"/>
    <w:rsid w:val="003517CE"/>
    <w:rsid w:val="0036462D"/>
    <w:rsid w:val="003664BB"/>
    <w:rsid w:val="00380F77"/>
    <w:rsid w:val="003B3D2A"/>
    <w:rsid w:val="003B5106"/>
    <w:rsid w:val="003C7306"/>
    <w:rsid w:val="003E0E0B"/>
    <w:rsid w:val="004303C0"/>
    <w:rsid w:val="0043556D"/>
    <w:rsid w:val="0044206A"/>
    <w:rsid w:val="00442DC0"/>
    <w:rsid w:val="00464D6D"/>
    <w:rsid w:val="00473E76"/>
    <w:rsid w:val="004809F8"/>
    <w:rsid w:val="004E4228"/>
    <w:rsid w:val="004E617F"/>
    <w:rsid w:val="004F2436"/>
    <w:rsid w:val="0050542A"/>
    <w:rsid w:val="005161E5"/>
    <w:rsid w:val="00526E11"/>
    <w:rsid w:val="0053779B"/>
    <w:rsid w:val="00544DB4"/>
    <w:rsid w:val="0059049E"/>
    <w:rsid w:val="005A727A"/>
    <w:rsid w:val="005B2D99"/>
    <w:rsid w:val="005C3A18"/>
    <w:rsid w:val="005D3A79"/>
    <w:rsid w:val="005E1608"/>
    <w:rsid w:val="005E6FEE"/>
    <w:rsid w:val="005F45D7"/>
    <w:rsid w:val="005F51CD"/>
    <w:rsid w:val="00603D9F"/>
    <w:rsid w:val="00673D43"/>
    <w:rsid w:val="00674D57"/>
    <w:rsid w:val="00682A5A"/>
    <w:rsid w:val="00684763"/>
    <w:rsid w:val="0069224E"/>
    <w:rsid w:val="006924DA"/>
    <w:rsid w:val="00695139"/>
    <w:rsid w:val="006A65FB"/>
    <w:rsid w:val="006B1E2E"/>
    <w:rsid w:val="006B6F32"/>
    <w:rsid w:val="006E4CDD"/>
    <w:rsid w:val="006F3ECB"/>
    <w:rsid w:val="006F4F94"/>
    <w:rsid w:val="0070641E"/>
    <w:rsid w:val="007160EC"/>
    <w:rsid w:val="00733E3E"/>
    <w:rsid w:val="00735591"/>
    <w:rsid w:val="00740D42"/>
    <w:rsid w:val="00755455"/>
    <w:rsid w:val="007604DF"/>
    <w:rsid w:val="007660B3"/>
    <w:rsid w:val="00781D24"/>
    <w:rsid w:val="007927B3"/>
    <w:rsid w:val="0079783F"/>
    <w:rsid w:val="007A5917"/>
    <w:rsid w:val="007A6F96"/>
    <w:rsid w:val="007E343C"/>
    <w:rsid w:val="007E41C9"/>
    <w:rsid w:val="007E5643"/>
    <w:rsid w:val="007E61C5"/>
    <w:rsid w:val="007E696B"/>
    <w:rsid w:val="007E6B34"/>
    <w:rsid w:val="008005E0"/>
    <w:rsid w:val="0081010E"/>
    <w:rsid w:val="00810773"/>
    <w:rsid w:val="00820E69"/>
    <w:rsid w:val="008251C1"/>
    <w:rsid w:val="008363BC"/>
    <w:rsid w:val="008401D9"/>
    <w:rsid w:val="00843662"/>
    <w:rsid w:val="00845D8D"/>
    <w:rsid w:val="008561D2"/>
    <w:rsid w:val="00856408"/>
    <w:rsid w:val="008A1CDC"/>
    <w:rsid w:val="008A467E"/>
    <w:rsid w:val="008C5925"/>
    <w:rsid w:val="008C60B4"/>
    <w:rsid w:val="008E7D99"/>
    <w:rsid w:val="008F0946"/>
    <w:rsid w:val="008F6519"/>
    <w:rsid w:val="00911112"/>
    <w:rsid w:val="00911333"/>
    <w:rsid w:val="00930676"/>
    <w:rsid w:val="00931993"/>
    <w:rsid w:val="00961A82"/>
    <w:rsid w:val="00971441"/>
    <w:rsid w:val="009A342D"/>
    <w:rsid w:val="009B009B"/>
    <w:rsid w:val="009B1542"/>
    <w:rsid w:val="009C3C5E"/>
    <w:rsid w:val="009C7859"/>
    <w:rsid w:val="009F68F3"/>
    <w:rsid w:val="00A005BA"/>
    <w:rsid w:val="00A17E78"/>
    <w:rsid w:val="00A43842"/>
    <w:rsid w:val="00A53B6B"/>
    <w:rsid w:val="00A56163"/>
    <w:rsid w:val="00A63C4F"/>
    <w:rsid w:val="00A9037E"/>
    <w:rsid w:val="00A91488"/>
    <w:rsid w:val="00AC7281"/>
    <w:rsid w:val="00AD34DA"/>
    <w:rsid w:val="00AD548D"/>
    <w:rsid w:val="00AE1384"/>
    <w:rsid w:val="00AE15DD"/>
    <w:rsid w:val="00B131FC"/>
    <w:rsid w:val="00B152A6"/>
    <w:rsid w:val="00B318A7"/>
    <w:rsid w:val="00B4470B"/>
    <w:rsid w:val="00B531FC"/>
    <w:rsid w:val="00B85960"/>
    <w:rsid w:val="00BB6658"/>
    <w:rsid w:val="00BC4676"/>
    <w:rsid w:val="00C04E8A"/>
    <w:rsid w:val="00C101EB"/>
    <w:rsid w:val="00C175D8"/>
    <w:rsid w:val="00C32747"/>
    <w:rsid w:val="00C43F14"/>
    <w:rsid w:val="00C45F55"/>
    <w:rsid w:val="00C67634"/>
    <w:rsid w:val="00C708FB"/>
    <w:rsid w:val="00C73DE6"/>
    <w:rsid w:val="00C82A0C"/>
    <w:rsid w:val="00C871BD"/>
    <w:rsid w:val="00C90C84"/>
    <w:rsid w:val="00C91C5D"/>
    <w:rsid w:val="00CE0769"/>
    <w:rsid w:val="00CE109D"/>
    <w:rsid w:val="00D313B1"/>
    <w:rsid w:val="00D464F5"/>
    <w:rsid w:val="00D74FC1"/>
    <w:rsid w:val="00D95B4F"/>
    <w:rsid w:val="00D97705"/>
    <w:rsid w:val="00DB1C97"/>
    <w:rsid w:val="00DB2402"/>
    <w:rsid w:val="00DB6B3F"/>
    <w:rsid w:val="00DC5D97"/>
    <w:rsid w:val="00DC66B7"/>
    <w:rsid w:val="00DD2188"/>
    <w:rsid w:val="00DE2FAD"/>
    <w:rsid w:val="00DE7121"/>
    <w:rsid w:val="00DF0377"/>
    <w:rsid w:val="00E3168B"/>
    <w:rsid w:val="00E325C3"/>
    <w:rsid w:val="00E43CC4"/>
    <w:rsid w:val="00E44300"/>
    <w:rsid w:val="00E5393B"/>
    <w:rsid w:val="00E55D81"/>
    <w:rsid w:val="00E6482B"/>
    <w:rsid w:val="00E70281"/>
    <w:rsid w:val="00E74415"/>
    <w:rsid w:val="00E90EB1"/>
    <w:rsid w:val="00EC3A9D"/>
    <w:rsid w:val="00EC5DB8"/>
    <w:rsid w:val="00EE0D2A"/>
    <w:rsid w:val="00EE52CF"/>
    <w:rsid w:val="00EF2E4F"/>
    <w:rsid w:val="00F130CE"/>
    <w:rsid w:val="00F1485F"/>
    <w:rsid w:val="00F169FE"/>
    <w:rsid w:val="00F403D2"/>
    <w:rsid w:val="00F70E9D"/>
    <w:rsid w:val="00F86F3C"/>
    <w:rsid w:val="00FB1875"/>
    <w:rsid w:val="00FD328F"/>
    <w:rsid w:val="00FF5349"/>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D73F4"/>
  <w15:docId w15:val="{D4C1CE90-FACA-4EBD-B089-5B5C61B31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E6B34"/>
  </w:style>
  <w:style w:type="paragraph" w:styleId="Heading1">
    <w:name w:val="heading 1"/>
    <w:basedOn w:val="Normal"/>
    <w:next w:val="Normal"/>
    <w:uiPriority w:val="9"/>
    <w:qFormat/>
    <w:rsid w:val="00DD2188"/>
    <w:pPr>
      <w:spacing w:after="160" w:line="240" w:lineRule="auto"/>
      <w:jc w:val="both"/>
      <w:outlineLvl w:val="0"/>
    </w:pPr>
    <w:rPr>
      <w:rFonts w:ascii="Times New Roman" w:eastAsia="Times New Roman" w:hAnsi="Times New Roman" w:cs="Times New Roman"/>
      <w:b/>
      <w:sz w:val="24"/>
      <w:szCs w:val="24"/>
    </w:rPr>
  </w:style>
  <w:style w:type="paragraph" w:styleId="Heading2">
    <w:name w:val="heading 2"/>
    <w:basedOn w:val="Heading1"/>
    <w:next w:val="Normal"/>
    <w:uiPriority w:val="9"/>
    <w:unhideWhenUsed/>
    <w:qFormat/>
    <w:rsid w:val="00DD2188"/>
    <w:pPr>
      <w:outlineLvl w:val="1"/>
    </w:pPr>
    <w:rPr>
      <w:b w:val="0"/>
      <w:i/>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A43842"/>
    <w:rPr>
      <w:sz w:val="16"/>
      <w:szCs w:val="16"/>
    </w:rPr>
  </w:style>
  <w:style w:type="paragraph" w:styleId="CommentText">
    <w:name w:val="annotation text"/>
    <w:basedOn w:val="Normal"/>
    <w:link w:val="CommentTextChar"/>
    <w:uiPriority w:val="99"/>
    <w:unhideWhenUsed/>
    <w:rsid w:val="00A43842"/>
    <w:pPr>
      <w:spacing w:line="240" w:lineRule="auto"/>
    </w:pPr>
    <w:rPr>
      <w:sz w:val="20"/>
      <w:szCs w:val="20"/>
    </w:rPr>
  </w:style>
  <w:style w:type="character" w:customStyle="1" w:styleId="CommentTextChar">
    <w:name w:val="Comment Text Char"/>
    <w:basedOn w:val="DefaultParagraphFont"/>
    <w:link w:val="CommentText"/>
    <w:uiPriority w:val="99"/>
    <w:rsid w:val="00A43842"/>
    <w:rPr>
      <w:sz w:val="20"/>
      <w:szCs w:val="20"/>
    </w:rPr>
  </w:style>
  <w:style w:type="paragraph" w:styleId="CommentSubject">
    <w:name w:val="annotation subject"/>
    <w:basedOn w:val="CommentText"/>
    <w:next w:val="CommentText"/>
    <w:link w:val="CommentSubjectChar"/>
    <w:uiPriority w:val="99"/>
    <w:semiHidden/>
    <w:unhideWhenUsed/>
    <w:rsid w:val="00A43842"/>
    <w:rPr>
      <w:b/>
      <w:bCs/>
    </w:rPr>
  </w:style>
  <w:style w:type="character" w:customStyle="1" w:styleId="CommentSubjectChar">
    <w:name w:val="Comment Subject Char"/>
    <w:basedOn w:val="CommentTextChar"/>
    <w:link w:val="CommentSubject"/>
    <w:uiPriority w:val="99"/>
    <w:semiHidden/>
    <w:rsid w:val="00A43842"/>
    <w:rPr>
      <w:b/>
      <w:bCs/>
      <w:sz w:val="20"/>
      <w:szCs w:val="20"/>
    </w:rPr>
  </w:style>
  <w:style w:type="paragraph" w:styleId="Revision">
    <w:name w:val="Revision"/>
    <w:hidden/>
    <w:uiPriority w:val="99"/>
    <w:semiHidden/>
    <w:rsid w:val="00F169FE"/>
    <w:pPr>
      <w:spacing w:line="240" w:lineRule="auto"/>
    </w:pPr>
  </w:style>
  <w:style w:type="character" w:styleId="Hyperlink">
    <w:name w:val="Hyperlink"/>
    <w:basedOn w:val="DefaultParagraphFont"/>
    <w:uiPriority w:val="99"/>
    <w:unhideWhenUsed/>
    <w:rsid w:val="000E23C9"/>
    <w:rPr>
      <w:color w:val="0000FF" w:themeColor="hyperlink"/>
      <w:u w:val="single"/>
    </w:rPr>
  </w:style>
  <w:style w:type="character" w:customStyle="1" w:styleId="UnresolvedMention1">
    <w:name w:val="Unresolved Mention1"/>
    <w:basedOn w:val="DefaultParagraphFont"/>
    <w:uiPriority w:val="99"/>
    <w:semiHidden/>
    <w:unhideWhenUsed/>
    <w:rsid w:val="000E23C9"/>
    <w:rPr>
      <w:color w:val="605E5C"/>
      <w:shd w:val="clear" w:color="auto" w:fill="E1DFDD"/>
    </w:rPr>
  </w:style>
  <w:style w:type="paragraph" w:styleId="Header">
    <w:name w:val="header"/>
    <w:basedOn w:val="Normal"/>
    <w:link w:val="HeaderChar"/>
    <w:uiPriority w:val="99"/>
    <w:unhideWhenUsed/>
    <w:rsid w:val="0044206A"/>
    <w:pPr>
      <w:tabs>
        <w:tab w:val="center" w:pos="4680"/>
        <w:tab w:val="right" w:pos="9360"/>
      </w:tabs>
      <w:spacing w:line="240" w:lineRule="auto"/>
    </w:pPr>
  </w:style>
  <w:style w:type="character" w:customStyle="1" w:styleId="HeaderChar">
    <w:name w:val="Header Char"/>
    <w:basedOn w:val="DefaultParagraphFont"/>
    <w:link w:val="Header"/>
    <w:uiPriority w:val="99"/>
    <w:rsid w:val="0044206A"/>
  </w:style>
  <w:style w:type="paragraph" w:styleId="Footer">
    <w:name w:val="footer"/>
    <w:basedOn w:val="Normal"/>
    <w:link w:val="FooterChar"/>
    <w:uiPriority w:val="99"/>
    <w:unhideWhenUsed/>
    <w:rsid w:val="0044206A"/>
    <w:pPr>
      <w:tabs>
        <w:tab w:val="center" w:pos="4680"/>
        <w:tab w:val="right" w:pos="9360"/>
      </w:tabs>
      <w:spacing w:line="240" w:lineRule="auto"/>
    </w:pPr>
  </w:style>
  <w:style w:type="character" w:customStyle="1" w:styleId="FooterChar">
    <w:name w:val="Footer Char"/>
    <w:basedOn w:val="DefaultParagraphFont"/>
    <w:link w:val="Footer"/>
    <w:uiPriority w:val="99"/>
    <w:rsid w:val="0044206A"/>
  </w:style>
  <w:style w:type="character" w:styleId="PageNumber">
    <w:name w:val="page number"/>
    <w:basedOn w:val="DefaultParagraphFont"/>
    <w:uiPriority w:val="99"/>
    <w:semiHidden/>
    <w:unhideWhenUsed/>
    <w:rsid w:val="0044206A"/>
  </w:style>
  <w:style w:type="paragraph" w:styleId="BalloonText">
    <w:name w:val="Balloon Text"/>
    <w:basedOn w:val="Normal"/>
    <w:link w:val="BalloonTextChar"/>
    <w:uiPriority w:val="99"/>
    <w:semiHidden/>
    <w:unhideWhenUsed/>
    <w:rsid w:val="00F403D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03D2"/>
    <w:rPr>
      <w:rFonts w:ascii="Segoe UI" w:hAnsi="Segoe UI" w:cs="Segoe UI"/>
      <w:sz w:val="18"/>
      <w:szCs w:val="18"/>
    </w:rPr>
  </w:style>
  <w:style w:type="character" w:styleId="Emphasis">
    <w:name w:val="Emphasis"/>
    <w:basedOn w:val="DefaultParagraphFont"/>
    <w:uiPriority w:val="20"/>
    <w:qFormat/>
    <w:rsid w:val="00843662"/>
    <w:rPr>
      <w:i/>
      <w:iCs/>
    </w:rPr>
  </w:style>
  <w:style w:type="character" w:styleId="FollowedHyperlink">
    <w:name w:val="FollowedHyperlink"/>
    <w:basedOn w:val="DefaultParagraphFont"/>
    <w:uiPriority w:val="99"/>
    <w:semiHidden/>
    <w:unhideWhenUsed/>
    <w:rsid w:val="00931993"/>
    <w:rPr>
      <w:color w:val="800080" w:themeColor="followedHyperlink"/>
      <w:u w:val="single"/>
    </w:rPr>
  </w:style>
  <w:style w:type="paragraph" w:customStyle="1" w:styleId="Normal2">
    <w:name w:val="Normal 2"/>
    <w:basedOn w:val="Normal"/>
    <w:link w:val="Normal2Char"/>
    <w:qFormat/>
    <w:rsid w:val="00DD2188"/>
    <w:pPr>
      <w:spacing w:after="160" w:line="240" w:lineRule="auto"/>
      <w:ind w:firstLine="360"/>
      <w:jc w:val="both"/>
    </w:pPr>
    <w:rPr>
      <w:rFonts w:ascii="Times New Roman" w:eastAsia="Times New Roman" w:hAnsi="Times New Roman" w:cs="Times New Roman"/>
      <w:sz w:val="24"/>
      <w:szCs w:val="24"/>
    </w:rPr>
  </w:style>
  <w:style w:type="character" w:customStyle="1" w:styleId="Normal2Char">
    <w:name w:val="Normal 2 Char"/>
    <w:basedOn w:val="DefaultParagraphFont"/>
    <w:link w:val="Normal2"/>
    <w:rsid w:val="00DD2188"/>
    <w:rPr>
      <w:rFonts w:ascii="Times New Roman" w:eastAsia="Times New Roman" w:hAnsi="Times New Roman" w:cs="Times New Roman"/>
      <w:sz w:val="24"/>
      <w:szCs w:val="24"/>
    </w:rPr>
  </w:style>
  <w:style w:type="paragraph" w:customStyle="1" w:styleId="Normal1">
    <w:name w:val="Normal 1"/>
    <w:basedOn w:val="Normal"/>
    <w:link w:val="Normal1Char"/>
    <w:qFormat/>
    <w:rsid w:val="00DD2188"/>
    <w:pPr>
      <w:spacing w:after="160" w:line="240" w:lineRule="auto"/>
      <w:jc w:val="both"/>
    </w:pPr>
    <w:rPr>
      <w:rFonts w:ascii="Times New Roman" w:eastAsia="Times New Roman" w:hAnsi="Times New Roman" w:cs="Times New Roman"/>
      <w:sz w:val="24"/>
      <w:szCs w:val="24"/>
    </w:rPr>
  </w:style>
  <w:style w:type="character" w:customStyle="1" w:styleId="Normal1Char">
    <w:name w:val="Normal 1 Char"/>
    <w:basedOn w:val="DefaultParagraphFont"/>
    <w:link w:val="Normal1"/>
    <w:rsid w:val="00DD2188"/>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8E7D99"/>
    <w:pPr>
      <w:tabs>
        <w:tab w:val="left" w:pos="720"/>
      </w:tabs>
      <w:spacing w:after="300" w:line="240" w:lineRule="auto"/>
      <w:ind w:left="720" w:right="720"/>
    </w:pPr>
    <w:rPr>
      <w:rFonts w:asciiTheme="minorHAnsi" w:eastAsiaTheme="minorHAnsi" w:hAnsiTheme="minorHAnsi" w:cstheme="minorBidi"/>
      <w:color w:val="404040" w:themeColor="text1" w:themeTint="BF"/>
      <w:sz w:val="24"/>
      <w:szCs w:val="24"/>
      <w:lang w:val="en-US" w:eastAsia="en-US"/>
    </w:rPr>
  </w:style>
  <w:style w:type="character" w:customStyle="1" w:styleId="QuoteChar">
    <w:name w:val="Quote Char"/>
    <w:basedOn w:val="DefaultParagraphFont"/>
    <w:link w:val="Quote"/>
    <w:uiPriority w:val="29"/>
    <w:rsid w:val="008E7D99"/>
    <w:rPr>
      <w:rFonts w:asciiTheme="minorHAnsi" w:eastAsiaTheme="minorHAnsi" w:hAnsiTheme="minorHAnsi" w:cstheme="minorBidi"/>
      <w:color w:val="404040" w:themeColor="text1" w:themeTint="BF"/>
      <w:sz w:val="24"/>
      <w:szCs w:val="24"/>
      <w:lang w:val="en-US" w:eastAsia="en-US"/>
    </w:rPr>
  </w:style>
  <w:style w:type="character" w:customStyle="1" w:styleId="Italic">
    <w:name w:val="Italic"/>
    <w:basedOn w:val="DefaultParagraphFont"/>
    <w:uiPriority w:val="1"/>
    <w:qFormat/>
    <w:rsid w:val="008E7D99"/>
    <w:rPr>
      <w:rFonts w:asciiTheme="minorHAnsi" w:hAnsiTheme="minorHAnsi"/>
      <w:i/>
      <w:color w:val="404040" w:themeColor="text1" w:themeTint="BF"/>
    </w:rPr>
  </w:style>
  <w:style w:type="paragraph" w:customStyle="1" w:styleId="Quotation">
    <w:name w:val="Quotation"/>
    <w:basedOn w:val="Normal2"/>
    <w:link w:val="QuotationChar"/>
    <w:qFormat/>
    <w:rsid w:val="008E7D99"/>
    <w:pPr>
      <w:ind w:left="357" w:firstLine="0"/>
    </w:pPr>
  </w:style>
  <w:style w:type="character" w:customStyle="1" w:styleId="QuotationChar">
    <w:name w:val="Quotation Char"/>
    <w:basedOn w:val="Normal2Char"/>
    <w:link w:val="Quotation"/>
    <w:rsid w:val="008E7D99"/>
    <w:rPr>
      <w:rFonts w:ascii="Times New Roman" w:eastAsia="Times New Roman" w:hAnsi="Times New Roman" w:cs="Times New Roman"/>
      <w:sz w:val="24"/>
      <w:szCs w:val="24"/>
    </w:rPr>
  </w:style>
  <w:style w:type="character" w:customStyle="1" w:styleId="Bold">
    <w:name w:val="Bold"/>
    <w:basedOn w:val="DefaultParagraphFont"/>
    <w:uiPriority w:val="1"/>
    <w:qFormat/>
    <w:rsid w:val="008E7D99"/>
    <w:rPr>
      <w:rFonts w:asciiTheme="minorHAnsi" w:hAnsiTheme="minorHAnsi"/>
      <w:b/>
    </w:rPr>
  </w:style>
  <w:style w:type="character" w:customStyle="1" w:styleId="Blue">
    <w:name w:val="Blue"/>
    <w:basedOn w:val="DefaultParagraphFont"/>
    <w:uiPriority w:val="1"/>
    <w:qFormat/>
    <w:rsid w:val="008E7D99"/>
    <w:rPr>
      <w:rFonts w:asciiTheme="minorHAnsi" w:hAnsiTheme="minorHAnsi"/>
      <w:color w:val="365F91" w:themeColor="accent1" w:themeShade="BF"/>
    </w:rPr>
  </w:style>
  <w:style w:type="character" w:customStyle="1" w:styleId="Red">
    <w:name w:val="Red"/>
    <w:basedOn w:val="DefaultParagraphFont"/>
    <w:uiPriority w:val="1"/>
    <w:qFormat/>
    <w:rsid w:val="008E7D99"/>
    <w:rPr>
      <w:rFonts w:asciiTheme="minorHAnsi" w:hAnsiTheme="minorHAnsi"/>
      <w:color w:val="C00000"/>
    </w:rPr>
  </w:style>
  <w:style w:type="paragraph" w:customStyle="1" w:styleId="Book">
    <w:name w:val="Book"/>
    <w:basedOn w:val="Normal"/>
    <w:link w:val="BookChar"/>
    <w:qFormat/>
    <w:rsid w:val="008E7D99"/>
    <w:pPr>
      <w:spacing w:after="80" w:line="259" w:lineRule="auto"/>
      <w:ind w:left="1134" w:hanging="567"/>
    </w:pPr>
    <w:rPr>
      <w:rFonts w:asciiTheme="majorHAnsi" w:eastAsiaTheme="minorHAnsi" w:hAnsiTheme="majorHAnsi" w:cstheme="minorBidi"/>
      <w:color w:val="595959" w:themeColor="text1" w:themeTint="A6"/>
      <w:sz w:val="24"/>
      <w:lang w:val="en-US" w:eastAsia="en-US"/>
    </w:rPr>
  </w:style>
  <w:style w:type="character" w:customStyle="1" w:styleId="BookChar">
    <w:name w:val="Book Char"/>
    <w:basedOn w:val="DefaultParagraphFont"/>
    <w:link w:val="Book"/>
    <w:rsid w:val="008E7D99"/>
    <w:rPr>
      <w:rFonts w:asciiTheme="majorHAnsi" w:eastAsiaTheme="minorHAnsi" w:hAnsiTheme="majorHAnsi" w:cstheme="minorBidi"/>
      <w:color w:val="595959" w:themeColor="text1" w:themeTint="A6"/>
      <w:sz w:val="24"/>
      <w:lang w:val="en-US" w:eastAsia="en-US"/>
    </w:rPr>
  </w:style>
  <w:style w:type="paragraph" w:styleId="Bibliography">
    <w:name w:val="Bibliography"/>
    <w:basedOn w:val="Normal"/>
    <w:next w:val="Normal"/>
    <w:uiPriority w:val="37"/>
    <w:unhideWhenUsed/>
    <w:rsid w:val="009C7859"/>
    <w:pPr>
      <w:spacing w:after="160" w:line="240" w:lineRule="auto"/>
      <w:ind w:left="357" w:hanging="357"/>
    </w:pPr>
    <w:rPr>
      <w:rFonts w:ascii="Times New Roman" w:hAnsi="Times New Roman"/>
      <w:sz w:val="24"/>
    </w:rPr>
  </w:style>
  <w:style w:type="character" w:styleId="UnresolvedMention">
    <w:name w:val="Unresolved Mention"/>
    <w:basedOn w:val="DefaultParagraphFont"/>
    <w:uiPriority w:val="99"/>
    <w:semiHidden/>
    <w:unhideWhenUsed/>
    <w:rsid w:val="00295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hyperlink" Target="http://edci770.pbworks.com/w/file/fetch/45494576/Bruner_Processes_of_Education.pdf" TargetMode="External"/><Relationship Id="rId26" Type="http://schemas.openxmlformats.org/officeDocument/2006/relationships/hyperlink" Target="https://uknowledge.uky.edu/comm_etds/110" TargetMode="External"/><Relationship Id="rId39" Type="http://schemas.openxmlformats.org/officeDocument/2006/relationships/footer" Target="footer1.xml"/><Relationship Id="rId21" Type="http://schemas.openxmlformats.org/officeDocument/2006/relationships/hyperlink" Target="https://doi.org/10.1007/s10648-021-09607-8" TargetMode="External"/><Relationship Id="rId34" Type="http://schemas.openxmlformats.org/officeDocument/2006/relationships/hyperlink" Target="https://place.asburyseminary.edu/jascg/vol20/iss1/8" TargetMode="External"/><Relationship Id="rId42" Type="http://schemas.openxmlformats.org/officeDocument/2006/relationships/theme" Target="theme/theme1.xml"/><Relationship Id="rId7" Type="http://schemas.openxmlformats.org/officeDocument/2006/relationships/hyperlink" Target="http://www.globalmissiology.org" TargetMode="External"/><Relationship Id="rId2" Type="http://schemas.openxmlformats.org/officeDocument/2006/relationships/styles" Target="styles.xml"/><Relationship Id="rId16" Type="http://schemas.openxmlformats.org/officeDocument/2006/relationships/hyperlink" Target="https://archive.org/details/storytellingimag00unse" TargetMode="External"/><Relationship Id="rId20" Type="http://schemas.openxmlformats.org/officeDocument/2006/relationships/hyperlink" Target="https://doi.org/10.2307/j.ctt9m0skc" TargetMode="External"/><Relationship Id="rId29" Type="http://schemas.openxmlformats.org/officeDocument/2006/relationships/hyperlink" Target="https://newbigindotnet.wpengine.com/wp-content/uploads/2016/12/92goc.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svg"/><Relationship Id="rId24" Type="http://schemas.openxmlformats.org/officeDocument/2006/relationships/hyperlink" Target="https://doi.org/10.1177/0739891318761673" TargetMode="External"/><Relationship Id="rId32" Type="http://schemas.openxmlformats.org/officeDocument/2006/relationships/hyperlink" Target="https://archive.org/details/listeningcarings0000sava"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1177/2396939317750550" TargetMode="External"/><Relationship Id="rId23" Type="http://schemas.openxmlformats.org/officeDocument/2006/relationships/hyperlink" Target="https://doi.org/10.1007/s11423-020-09820-2" TargetMode="External"/><Relationship Id="rId28" Type="http://schemas.openxmlformats.org/officeDocument/2006/relationships/hyperlink" Target="https://doi.org/10.21203/rs.3.rs-2960913/v1" TargetMode="External"/><Relationship Id="rId36" Type="http://schemas.openxmlformats.org/officeDocument/2006/relationships/hyperlink" Target="https://newprairiepress.org/ebooks/20" TargetMode="External"/><Relationship Id="rId10" Type="http://schemas.openxmlformats.org/officeDocument/2006/relationships/image" Target="media/image3.png"/><Relationship Id="rId19" Type="http://schemas.openxmlformats.org/officeDocument/2006/relationships/hyperlink" Target="https://doi.org/10.1177/1028315303260826" TargetMode="External"/><Relationship Id="rId31" Type="http://schemas.openxmlformats.org/officeDocument/2006/relationships/hyperlink" Target="https://www.asiamissions.net/wp-content/uploads/2023/10/ChansamoneSaiyasak.pdf" TargetMode="External"/><Relationship Id="rId4" Type="http://schemas.openxmlformats.org/officeDocument/2006/relationships/webSettings" Target="webSettings.xml"/><Relationship Id="rId9" Type="http://schemas.openxmlformats.org/officeDocument/2006/relationships/image" Target="media/image2.svg"/><Relationship Id="rId14" Type="http://schemas.openxmlformats.org/officeDocument/2006/relationships/hyperlink" Target="https://doi.org/10.1177/0739891320967017" TargetMode="External"/><Relationship Id="rId22" Type="http://schemas.openxmlformats.org/officeDocument/2006/relationships/hyperlink" Target="https://www.journals.upd.edu.ph/index.php/edq/article/view/2904/2678" TargetMode="External"/><Relationship Id="rId27" Type="http://schemas.openxmlformats.org/officeDocument/2006/relationships/hyperlink" Target="https://search.ebscohost.com.oca.rizal.library.remotexs.co/login.aspx?direct=true&amp;db=edscal&amp;AN=edscal.14025747&amp;scope=site" TargetMode="External"/><Relationship Id="rId30" Type="http://schemas.openxmlformats.org/officeDocument/2006/relationships/hyperlink" Target="https://www.youtube.com/watch?v=Nj-hdQMa3uA" TargetMode="External"/><Relationship Id="rId35" Type="http://schemas.openxmlformats.org/officeDocument/2006/relationships/hyperlink" Target="https://place.asburyseminary.edu/gcrj/vol15/iss2/14/" TargetMode="Externa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doi.org/10.1177/00918296221103269" TargetMode="External"/><Relationship Id="rId25" Type="http://schemas.openxmlformats.org/officeDocument/2006/relationships/hyperlink" Target="https://doi.org/10.1177/009182960102900404" TargetMode="External"/><Relationship Id="rId33" Type="http://schemas.openxmlformats.org/officeDocument/2006/relationships/hyperlink" Target="https://doi.org/10.1073/pnas.1323812111"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1C251-D168-4C36-9B82-CAC9DD54F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4369</Words>
  <Characters>24904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Danyal Qalb</dc:creator>
  <cp:keywords/>
  <dc:description/>
  <cp:lastModifiedBy>Nelson Jennings</cp:lastModifiedBy>
  <cp:revision>4</cp:revision>
  <dcterms:created xsi:type="dcterms:W3CDTF">2024-01-20T19:58:00Z</dcterms:created>
  <dcterms:modified xsi:type="dcterms:W3CDTF">2024-01-20T20:06:00Z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id="wdEXK8gL"/&gt;&lt;style id="http://www.zotero.org/styles/apa" locale="en-US" hasBibliography="1" bibliographyStyleHasBeenSet="1"/&gt;&lt;prefs&gt;&lt;pref name="fieldType" value="Field"/&gt;&lt;/prefs&gt;&lt;/data&gt;</vt:lpwstr>
  </property>
</Properties>
</file>