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20BB" w:rsidRPr="00A27E33" w:rsidRDefault="00000000" w:rsidP="00A27E33">
      <w:pPr>
        <w:shd w:val="clear" w:color="auto" w:fill="FFFFFF"/>
        <w:tabs>
          <w:tab w:val="center" w:pos="4680"/>
          <w:tab w:val="left" w:pos="8546"/>
        </w:tabs>
        <w:spacing w:after="160"/>
        <w:jc w:val="center"/>
        <w:rPr>
          <w:b/>
        </w:rPr>
      </w:pPr>
      <w:r w:rsidRPr="00A27E33">
        <w:rPr>
          <w:b/>
        </w:rPr>
        <w:t>Editorial</w:t>
      </w:r>
    </w:p>
    <w:p w14:paraId="5EE8B31C" w14:textId="31B12C30" w:rsidR="00196CC7" w:rsidRPr="00196CC7" w:rsidRDefault="00E44882" w:rsidP="00A27E33">
      <w:pPr>
        <w:shd w:val="clear" w:color="auto" w:fill="FFFFFF"/>
        <w:spacing w:after="160"/>
        <w:jc w:val="center"/>
        <w:rPr>
          <w:rFonts w:eastAsia="Batang"/>
          <w:b/>
          <w:color w:val="1F1F1F"/>
          <w:lang w:eastAsia="ko-KR"/>
        </w:rPr>
      </w:pPr>
      <w:proofErr w:type="spellStart"/>
      <w:r w:rsidRPr="00E44882">
        <w:rPr>
          <w:rFonts w:ascii="Sylfaen" w:hAnsi="Sylfaen" w:cs="Sylfaen"/>
          <w:b/>
          <w:bCs/>
          <w:color w:val="1F1F1F"/>
          <w:sz w:val="26"/>
          <w:szCs w:val="26"/>
        </w:rPr>
        <w:t>աստվածաբանություն</w:t>
      </w:r>
      <w:proofErr w:type="spellEnd"/>
      <w:r w:rsidRPr="00E44882">
        <w:rPr>
          <w:b/>
          <w:bCs/>
          <w:color w:val="000000"/>
          <w:sz w:val="26"/>
          <w:szCs w:val="26"/>
        </w:rPr>
        <w:t xml:space="preserve"> </w:t>
      </w:r>
      <w:r>
        <w:rPr>
          <w:b/>
          <w:bCs/>
          <w:color w:val="000000"/>
        </w:rPr>
        <w:t xml:space="preserve">/ </w:t>
      </w:r>
      <w:proofErr w:type="spellStart"/>
      <w:r w:rsidRPr="00E44882">
        <w:rPr>
          <w:rFonts w:ascii="Segoe UI Historic" w:hAnsi="Segoe UI Historic" w:cs="Segoe UI Historic"/>
          <w:b/>
          <w:bCs/>
        </w:rPr>
        <w:t>ܡܠܠܘܬܐ</w:t>
      </w:r>
      <w:proofErr w:type="spellEnd"/>
      <w:r w:rsidRPr="00E44882">
        <w:rPr>
          <w:b/>
          <w:bCs/>
        </w:rPr>
        <w:t xml:space="preserve"> </w:t>
      </w:r>
      <w:proofErr w:type="spellStart"/>
      <w:r w:rsidRPr="00E44882">
        <w:rPr>
          <w:rFonts w:ascii="Segoe UI Historic" w:hAnsi="Segoe UI Historic" w:cs="Segoe UI Historic"/>
          <w:b/>
          <w:bCs/>
        </w:rPr>
        <w:t>ܐܠܗܝܬܐ</w:t>
      </w:r>
      <w:proofErr w:type="spellEnd"/>
      <w:r>
        <w:rPr>
          <w:b/>
          <w:bCs/>
          <w:color w:val="000000"/>
        </w:rPr>
        <w:t xml:space="preserve"> </w:t>
      </w:r>
      <w:r w:rsidRPr="00E44882">
        <w:rPr>
          <w:b/>
          <w:bCs/>
          <w:color w:val="000000"/>
        </w:rPr>
        <w:t xml:space="preserve">/ </w:t>
      </w:r>
      <w:proofErr w:type="spellStart"/>
      <w:r w:rsidR="00A27E33" w:rsidRPr="00A27E33">
        <w:rPr>
          <w:rFonts w:ascii="Kohinoor Devanagari" w:hAnsi="Kohinoor Devanagari" w:cs="Kohinoor Devanagari"/>
          <w:b/>
          <w:bCs/>
          <w:color w:val="000000"/>
          <w:sz w:val="22"/>
          <w:szCs w:val="22"/>
        </w:rPr>
        <w:t>धर्मशास्र</w:t>
      </w:r>
      <w:proofErr w:type="spellEnd"/>
      <w:r w:rsidR="00A27E33">
        <w:rPr>
          <w:b/>
          <w:bCs/>
          <w:color w:val="000000"/>
        </w:rPr>
        <w:t xml:space="preserve"> / </w:t>
      </w:r>
      <w:proofErr w:type="spellStart"/>
      <w:r w:rsidR="00A27E33">
        <w:rPr>
          <w:b/>
          <w:bCs/>
          <w:color w:val="000000"/>
        </w:rPr>
        <w:t>Teolojia</w:t>
      </w:r>
      <w:proofErr w:type="spellEnd"/>
      <w:r w:rsidR="00A27E33">
        <w:rPr>
          <w:b/>
          <w:bCs/>
          <w:color w:val="000000"/>
        </w:rPr>
        <w:t xml:space="preserve"> / </w:t>
      </w:r>
      <w:proofErr w:type="spellStart"/>
      <w:r w:rsidR="00A27E33">
        <w:rPr>
          <w:b/>
          <w:bCs/>
          <w:color w:val="000000"/>
        </w:rPr>
        <w:t>اللاهوت</w:t>
      </w:r>
      <w:proofErr w:type="spellEnd"/>
      <w:r w:rsidR="00A27E33">
        <w:rPr>
          <w:b/>
          <w:bCs/>
          <w:color w:val="000000"/>
        </w:rPr>
        <w:t xml:space="preserve"> / </w:t>
      </w:r>
      <w:r w:rsidR="00A27E33" w:rsidRPr="00A27E33">
        <w:rPr>
          <w:b/>
          <w:bCs/>
          <w:color w:val="000000"/>
        </w:rPr>
        <w:t>神学</w:t>
      </w:r>
      <w:r w:rsidR="00A27E33">
        <w:rPr>
          <w:b/>
          <w:bCs/>
          <w:color w:val="000000"/>
        </w:rPr>
        <w:t xml:space="preserve"> / </w:t>
      </w:r>
      <w:proofErr w:type="spellStart"/>
      <w:r w:rsidR="00A27E33">
        <w:rPr>
          <w:b/>
          <w:bCs/>
          <w:color w:val="000000"/>
        </w:rPr>
        <w:t>thần</w:t>
      </w:r>
      <w:proofErr w:type="spellEnd"/>
      <w:r w:rsidR="00A27E33">
        <w:rPr>
          <w:b/>
          <w:bCs/>
          <w:color w:val="000000"/>
        </w:rPr>
        <w:t xml:space="preserve"> </w:t>
      </w:r>
      <w:proofErr w:type="spellStart"/>
      <w:r w:rsidR="00A27E33">
        <w:rPr>
          <w:b/>
          <w:bCs/>
          <w:color w:val="000000"/>
        </w:rPr>
        <w:t>học</w:t>
      </w:r>
      <w:proofErr w:type="spellEnd"/>
    </w:p>
    <w:p w14:paraId="00000003" w14:textId="061807CD" w:rsidR="003320BB" w:rsidRDefault="00000000" w:rsidP="00A27E33">
      <w:pPr>
        <w:shd w:val="clear" w:color="auto" w:fill="FFFFFF"/>
        <w:spacing w:after="160"/>
        <w:jc w:val="center"/>
        <w:rPr>
          <w:highlight w:val="white"/>
        </w:rPr>
      </w:pPr>
      <w:r>
        <w:t>J. Nelson Jennings</w:t>
      </w:r>
    </w:p>
    <w:p w14:paraId="00000004" w14:textId="2064F7D1" w:rsidR="003320BB" w:rsidRDefault="00000000" w:rsidP="00A27E33">
      <w:pPr>
        <w:shd w:val="clear" w:color="auto" w:fill="FFFFFF"/>
        <w:spacing w:after="160"/>
        <w:jc w:val="center"/>
        <w:rPr>
          <w:highlight w:val="white"/>
        </w:rPr>
      </w:pPr>
      <w:r>
        <w:rPr>
          <w:highlight w:val="white"/>
        </w:rPr>
        <w:t xml:space="preserve">Published in </w:t>
      </w:r>
      <w:r>
        <w:rPr>
          <w:i/>
          <w:highlight w:val="white"/>
        </w:rPr>
        <w:t>Global Missiology</w:t>
      </w:r>
      <w:r>
        <w:rPr>
          <w:highlight w:val="white"/>
        </w:rPr>
        <w:t>,</w:t>
      </w:r>
      <w:hyperlink r:id="rId8">
        <w:r w:rsidR="003320BB">
          <w:rPr>
            <w:highlight w:val="white"/>
          </w:rPr>
          <w:t xml:space="preserve"> </w:t>
        </w:r>
      </w:hyperlink>
      <w:hyperlink r:id="rId9">
        <w:r w:rsidR="003320BB">
          <w:rPr>
            <w:highlight w:val="white"/>
            <w:u w:val="single"/>
          </w:rPr>
          <w:t>www.globalmissiology.org</w:t>
        </w:r>
      </w:hyperlink>
      <w:r>
        <w:rPr>
          <w:highlight w:val="white"/>
        </w:rPr>
        <w:t xml:space="preserve">, </w:t>
      </w:r>
      <w:r w:rsidR="00BB1863">
        <w:rPr>
          <w:highlight w:val="white"/>
        </w:rPr>
        <w:t>J</w:t>
      </w:r>
      <w:r w:rsidR="00A27E33">
        <w:rPr>
          <w:highlight w:val="white"/>
        </w:rPr>
        <w:t>ul</w:t>
      </w:r>
      <w:r w:rsidR="00BB1863">
        <w:rPr>
          <w:highlight w:val="white"/>
        </w:rPr>
        <w:t>y</w:t>
      </w:r>
      <w:r>
        <w:rPr>
          <w:highlight w:val="white"/>
        </w:rPr>
        <w:t xml:space="preserve"> 202</w:t>
      </w:r>
      <w:r w:rsidR="00B966A9">
        <w:rPr>
          <w:highlight w:val="white"/>
        </w:rPr>
        <w:t>6</w:t>
      </w:r>
    </w:p>
    <w:p w14:paraId="00000005" w14:textId="1188B84A" w:rsidR="003320BB" w:rsidRDefault="00A27E33">
      <w:pPr>
        <w:shd w:val="clear" w:color="auto" w:fill="FFFFFF"/>
        <w:spacing w:after="160"/>
        <w:jc w:val="both"/>
        <w:rPr>
          <w:highlight w:val="white"/>
        </w:rPr>
      </w:pPr>
      <w:proofErr w:type="gramStart"/>
      <w:r>
        <w:rPr>
          <w:highlight w:val="white"/>
        </w:rPr>
        <w:t>So</w:t>
      </w:r>
      <w:proofErr w:type="gramEnd"/>
      <w:r>
        <w:rPr>
          <w:highlight w:val="white"/>
        </w:rPr>
        <w:t xml:space="preserve"> who is “theology” for?</w:t>
      </w:r>
    </w:p>
    <w:p w14:paraId="5F323CCB" w14:textId="55804190" w:rsidR="00A749D6" w:rsidRDefault="00A27E33" w:rsidP="00A27E33">
      <w:pPr>
        <w:shd w:val="clear" w:color="auto" w:fill="FFFFFF"/>
        <w:spacing w:after="160"/>
        <w:ind w:firstLine="360"/>
        <w:jc w:val="both"/>
      </w:pPr>
      <w:r>
        <w:t xml:space="preserve">Some readers—like my </w:t>
      </w:r>
      <w:r w:rsidR="00E44882">
        <w:t xml:space="preserve">contextualized, </w:t>
      </w:r>
      <w:r>
        <w:t xml:space="preserve">analytical-editorial self—might instinctively react to that question with such grammatically outdated correctives as, “That question should read, ‘For whom does “theology” exist?’ or ‘For whom has the Church theologized?’” Some of us might also want the question to come across </w:t>
      </w:r>
      <w:r w:rsidR="00640F34">
        <w:t>in a</w:t>
      </w:r>
      <w:r>
        <w:t xml:space="preserve"> more “sophisticated” or “educated” </w:t>
      </w:r>
      <w:r w:rsidR="00640F34">
        <w:t xml:space="preserve">manner </w:t>
      </w:r>
      <w:r>
        <w:t xml:space="preserve">than its plain, everyday </w:t>
      </w:r>
      <w:r w:rsidR="00640F34">
        <w:t>style connotes</w:t>
      </w:r>
      <w:r>
        <w:t xml:space="preserve">. </w:t>
      </w:r>
      <w:r w:rsidR="00A749D6">
        <w:t xml:space="preserve">“Proper” grammar, “acceptable” sentence formation, and “advanced” vocabularies are important, are they </w:t>
      </w:r>
      <w:proofErr w:type="gramStart"/>
      <w:r w:rsidR="00A749D6">
        <w:t>not—including</w:t>
      </w:r>
      <w:proofErr w:type="gramEnd"/>
      <w:r w:rsidR="00A749D6">
        <w:t xml:space="preserve"> for presenting the Christian gospel, right?</w:t>
      </w:r>
    </w:p>
    <w:p w14:paraId="0000001F" w14:textId="3E78D9C9" w:rsidR="003320BB" w:rsidRDefault="00A27E33" w:rsidP="00A27E33">
      <w:pPr>
        <w:shd w:val="clear" w:color="auto" w:fill="FFFFFF"/>
        <w:spacing w:after="160"/>
        <w:ind w:firstLine="360"/>
        <w:jc w:val="both"/>
      </w:pPr>
      <w:r>
        <w:t xml:space="preserve">I confess to </w:t>
      </w:r>
      <w:r w:rsidR="00A749D6">
        <w:t>lik</w:t>
      </w:r>
      <w:r>
        <w:t>ing as much as any</w:t>
      </w:r>
      <w:r w:rsidR="00147D88">
        <w:t xml:space="preserve"> other English speaker</w:t>
      </w:r>
      <w:r>
        <w:t>, sentimentally at least, the</w:t>
      </w:r>
      <w:r w:rsidR="00A749D6">
        <w:t xml:space="preserve"> now archaic</w:t>
      </w:r>
      <w:r>
        <w:t xml:space="preserve"> rule that Winston Churchill satirized in his </w:t>
      </w:r>
      <w:r w:rsidR="00A749D6">
        <w:t>alleged witticism</w:t>
      </w:r>
      <w:r>
        <w:t xml:space="preserve">, “Ending sentences with prepositions is something up with which I will not put.” </w:t>
      </w:r>
      <w:r w:rsidR="00A749D6">
        <w:t>I also prefer avoiding split infinitives, in order faithfully to follow (</w:t>
      </w:r>
      <w:r w:rsidR="00E44882">
        <w:t xml:space="preserve">or “to follow faithfully,” </w:t>
      </w:r>
      <w:r w:rsidR="00A749D6">
        <w:t>not the abundantly more common</w:t>
      </w:r>
      <w:r w:rsidR="00E44882">
        <w:t xml:space="preserve"> and now </w:t>
      </w:r>
      <w:proofErr w:type="gramStart"/>
      <w:r w:rsidR="00E44882">
        <w:t>natural</w:t>
      </w:r>
      <w:r w:rsidR="009567DA">
        <w:t>-feeling</w:t>
      </w:r>
      <w:proofErr w:type="gramEnd"/>
      <w:r w:rsidR="00A749D6">
        <w:t xml:space="preserve"> “to faithfully follow”) strictly traditional grammar. Today’s mixing of objective- and subjective-case pronouns in everyday speech, </w:t>
      </w:r>
      <w:r w:rsidR="00F32C8B">
        <w:t>especially the</w:t>
      </w:r>
      <w:r w:rsidR="00640F34">
        <w:t xml:space="preserve"> egregious</w:t>
      </w:r>
      <w:r w:rsidR="00A749D6">
        <w:t xml:space="preserve"> </w:t>
      </w:r>
      <w:r w:rsidR="009567DA">
        <w:t>begin</w:t>
      </w:r>
      <w:r w:rsidR="00A749D6">
        <w:t>ning</w:t>
      </w:r>
      <w:r w:rsidR="00F32C8B">
        <w:t xml:space="preserve"> of</w:t>
      </w:r>
      <w:r w:rsidR="00A749D6">
        <w:t xml:space="preserve"> a sentence </w:t>
      </w:r>
      <w:r w:rsidR="009567DA">
        <w:t>by listing</w:t>
      </w:r>
      <w:r w:rsidR="00A749D6">
        <w:t xml:space="preserve"> multiple subjects</w:t>
      </w:r>
      <w:r w:rsidR="009567DA">
        <w:t xml:space="preserve"> that start</w:t>
      </w:r>
      <w:r w:rsidR="00A749D6">
        <w:t xml:space="preserve"> with the first-person pronoun </w:t>
      </w:r>
      <w:r w:rsidR="00A749D6" w:rsidRPr="00A749D6">
        <w:rPr>
          <w:i/>
          <w:iCs/>
        </w:rPr>
        <w:t>me</w:t>
      </w:r>
      <w:r w:rsidR="00A749D6">
        <w:t xml:space="preserve"> (“improperly” in the objective case), </w:t>
      </w:r>
      <w:r w:rsidR="009567DA">
        <w:t>always draws my attention</w:t>
      </w:r>
      <w:r w:rsidR="00A749D6">
        <w:t xml:space="preserve"> (</w:t>
      </w:r>
      <w:r w:rsidR="009567DA">
        <w:t xml:space="preserve">not </w:t>
      </w:r>
      <w:r w:rsidR="00A749D6">
        <w:t>“Me and him</w:t>
      </w:r>
      <w:r w:rsidR="00AC02C4">
        <w:t>…</w:t>
      </w:r>
      <w:r w:rsidR="00A749D6">
        <w:t xml:space="preserve">” </w:t>
      </w:r>
      <w:r w:rsidR="009567DA">
        <w:t>but</w:t>
      </w:r>
      <w:r w:rsidR="00A749D6">
        <w:t xml:space="preserve"> “He and I</w:t>
      </w:r>
      <w:r w:rsidR="00AC02C4">
        <w:t>…</w:t>
      </w:r>
      <w:r w:rsidR="00A749D6">
        <w:t>”</w:t>
      </w:r>
      <w:r w:rsidR="00AC02C4">
        <w:t>!</w:t>
      </w:r>
      <w:r w:rsidR="00A749D6">
        <w:t>)</w:t>
      </w:r>
      <w:r w:rsidR="009567DA">
        <w:t>.</w:t>
      </w:r>
      <w:r w:rsidR="00A749D6">
        <w:t xml:space="preserve"> </w:t>
      </w:r>
      <w:r>
        <w:t xml:space="preserve">I confess to </w:t>
      </w:r>
      <w:r w:rsidR="00A749D6">
        <w:t xml:space="preserve">admiring eloquence and colorful imagery in language use, and I </w:t>
      </w:r>
      <w:r w:rsidR="00640F34">
        <w:t xml:space="preserve">often </w:t>
      </w:r>
      <w:r w:rsidR="00A749D6">
        <w:t xml:space="preserve">wish I were more </w:t>
      </w:r>
      <w:r w:rsidR="009567DA">
        <w:t>impressiv</w:t>
      </w:r>
      <w:r w:rsidR="00A749D6">
        <w:t>ely expressive in how I sp</w:t>
      </w:r>
      <w:r w:rsidR="00E44882">
        <w:t>o</w:t>
      </w:r>
      <w:r w:rsidR="00A749D6">
        <w:t>k</w:t>
      </w:r>
      <w:r w:rsidR="00E44882">
        <w:t>e</w:t>
      </w:r>
      <w:r w:rsidR="00A749D6">
        <w:t xml:space="preserve"> and wr</w:t>
      </w:r>
      <w:r w:rsidR="00E44882">
        <w:t>o</w:t>
      </w:r>
      <w:r w:rsidR="00A749D6">
        <w:t>te in my native tongue, English, as well as in other languages in which I function.</w:t>
      </w:r>
    </w:p>
    <w:p w14:paraId="6ADDE133" w14:textId="583558E0" w:rsidR="00A749D6" w:rsidRDefault="00A749D6" w:rsidP="00A27E33">
      <w:pPr>
        <w:shd w:val="clear" w:color="auto" w:fill="FFFFFF"/>
        <w:spacing w:after="160"/>
        <w:ind w:firstLine="360"/>
        <w:jc w:val="both"/>
      </w:pPr>
      <w:r>
        <w:t>But back to that opening question: Who is “theology” for?</w:t>
      </w:r>
    </w:p>
    <w:p w14:paraId="352DAC69" w14:textId="354ABA79" w:rsidR="00A749D6" w:rsidRDefault="00A749D6" w:rsidP="00A27E33">
      <w:pPr>
        <w:shd w:val="clear" w:color="auto" w:fill="FFFFFF"/>
        <w:spacing w:after="160"/>
        <w:ind w:firstLine="360"/>
        <w:jc w:val="both"/>
      </w:pPr>
      <w:r>
        <w:t>Remarkably, let’s say providentially</w:t>
      </w:r>
      <w:r w:rsidR="009567DA">
        <w:t xml:space="preserve"> in a way that our editorial team did not plan</w:t>
      </w:r>
      <w:r>
        <w:t xml:space="preserve">, all the contributions in this July 2026 issue of </w:t>
      </w:r>
      <w:r w:rsidRPr="00A749D6">
        <w:rPr>
          <w:i/>
          <w:iCs/>
        </w:rPr>
        <w:t>Global Missiology</w:t>
      </w:r>
      <w:r>
        <w:t xml:space="preserve"> address, in one way or another, that </w:t>
      </w:r>
      <w:r w:rsidR="000B7422">
        <w:t>apparently straightforward</w:t>
      </w:r>
      <w:r w:rsidR="00640F34">
        <w:t xml:space="preserve"> </w:t>
      </w:r>
      <w:r>
        <w:t xml:space="preserve">question. The Hemming-Handley article and three book reviews are about theological training, the nature of theology, </w:t>
      </w:r>
      <w:r w:rsidR="00640F34">
        <w:t>the</w:t>
      </w:r>
      <w:r>
        <w:t xml:space="preserve"> formulat</w:t>
      </w:r>
      <w:r w:rsidR="00640F34">
        <w:t>ors of</w:t>
      </w:r>
      <w:r>
        <w:t xml:space="preserve"> theology, and the use of theology—all in today’s changing contexts of </w:t>
      </w:r>
      <w:r w:rsidR="00640F34">
        <w:t xml:space="preserve">worldwide </w:t>
      </w:r>
      <w:r>
        <w:t>Christian growth and ministry. A reframed, expanded form of the opening question encapsulates this issue’s contents: “Given today’s undeniably changing religious landscape, who theologizes for whom?”</w:t>
      </w:r>
    </w:p>
    <w:p w14:paraId="16510874" w14:textId="14D24068" w:rsidR="00A749D6" w:rsidRDefault="00A749D6" w:rsidP="00A749D6">
      <w:pPr>
        <w:shd w:val="clear" w:color="auto" w:fill="FFFFFF"/>
        <w:spacing w:after="160"/>
        <w:ind w:firstLine="360"/>
        <w:jc w:val="both"/>
        <w:rPr>
          <w:rStyle w:val="Strong"/>
          <w:b w:val="0"/>
          <w:bCs w:val="0"/>
        </w:rPr>
      </w:pPr>
      <w:r>
        <w:t>The recognition that the Christian faith must deal with changing contexts spurred Martin K</w:t>
      </w:r>
      <w:r w:rsidRPr="00A749D6">
        <w:rPr>
          <w:color w:val="1F1F1F"/>
          <w:shd w:val="clear" w:color="auto" w:fill="FFFFFF"/>
        </w:rPr>
        <w:t>ä</w:t>
      </w:r>
      <w:r>
        <w:t xml:space="preserve">hler’s early-twentieth-century </w:t>
      </w:r>
      <w:r w:rsidR="00E44882">
        <w:t>dictum</w:t>
      </w:r>
      <w:r>
        <w:t>, “Mission is the mother of theology.” As David Bosch explained, K</w:t>
      </w:r>
      <w:r w:rsidRPr="00A749D6">
        <w:rPr>
          <w:color w:val="1F1F1F"/>
          <w:shd w:val="clear" w:color="auto" w:fill="FFFFFF"/>
        </w:rPr>
        <w:t>ä</w:t>
      </w:r>
      <w:r>
        <w:t xml:space="preserve">hler observed that the early </w:t>
      </w:r>
      <w:r w:rsidR="00E44882">
        <w:t>E</w:t>
      </w:r>
      <w:r>
        <w:t>astern Mediterranean churches, including the New Testament writers, were “</w:t>
      </w:r>
      <w:r w:rsidRPr="00A749D6">
        <w:rPr>
          <w:i/>
          <w:iCs/>
        </w:rPr>
        <w:t>forced</w:t>
      </w:r>
      <w:r>
        <w:t xml:space="preserve"> to theologize” because of their “missionary encounter with the world” (Bosch, 1991, p. 16</w:t>
      </w:r>
      <w:r w:rsidR="00147D88">
        <w:t>, emphasis original</w:t>
      </w:r>
      <w:r>
        <w:t xml:space="preserve">). The New Testament was written in </w:t>
      </w:r>
      <w:proofErr w:type="spellStart"/>
      <w:r>
        <w:t>Koine</w:t>
      </w:r>
      <w:proofErr w:type="spellEnd"/>
      <w:r>
        <w:t xml:space="preserve"> Greek (as the Septuagint had been), and the Spirit-empowered followers of the ascended Jesus in the Hellenistic part of </w:t>
      </w:r>
      <w:r w:rsidR="009567DA">
        <w:t xml:space="preserve">the </w:t>
      </w:r>
      <w:r>
        <w:t xml:space="preserve">world </w:t>
      </w:r>
      <w:r w:rsidR="009567DA">
        <w:t xml:space="preserve">largely </w:t>
      </w:r>
      <w:r>
        <w:t xml:space="preserve">witnessed in </w:t>
      </w:r>
      <w:proofErr w:type="spellStart"/>
      <w:r>
        <w:t>Koine</w:t>
      </w:r>
      <w:proofErr w:type="spellEnd"/>
      <w:r>
        <w:t xml:space="preserve"> Greek, </w:t>
      </w:r>
      <w:proofErr w:type="gramStart"/>
      <w:r>
        <w:t>in order to</w:t>
      </w:r>
      <w:proofErr w:type="gramEnd"/>
      <w:r>
        <w:t xml:space="preserve"> communicate with </w:t>
      </w:r>
      <w:r w:rsidR="00640F34">
        <w:t xml:space="preserve">the ubiquitous </w:t>
      </w:r>
      <w:r>
        <w:t>Greek speakers</w:t>
      </w:r>
      <w:r w:rsidR="00640F34">
        <w:t xml:space="preserve"> among whom they lived</w:t>
      </w:r>
      <w:r>
        <w:t>. (</w:t>
      </w:r>
      <w:r w:rsidR="00640F34">
        <w:t xml:space="preserve">The New Testament also records such exceptions as </w:t>
      </w:r>
      <w:r>
        <w:t>Paul us</w:t>
      </w:r>
      <w:r w:rsidR="00640F34">
        <w:t>ing</w:t>
      </w:r>
      <w:r>
        <w:t xml:space="preserve"> Aramaic</w:t>
      </w:r>
      <w:r w:rsidR="00640F34">
        <w:t xml:space="preserve"> </w:t>
      </w:r>
      <w:r>
        <w:t>for certain Jewish audiences, e.g., in Jerusalem as recorded in Acts 21-22.) That communication required fresh conceptualizations and articulations</w:t>
      </w:r>
      <w:r w:rsidR="00640F34">
        <w:t>,</w:t>
      </w:r>
      <w:r>
        <w:t xml:space="preserve"> </w:t>
      </w:r>
      <w:r w:rsidR="00720832">
        <w:t>into Greek</w:t>
      </w:r>
      <w:r w:rsidR="00640F34">
        <w:t xml:space="preserve"> thought and language,</w:t>
      </w:r>
      <w:r w:rsidR="00720832">
        <w:t xml:space="preserve"> </w:t>
      </w:r>
      <w:r>
        <w:t>of divine revelation</w:t>
      </w:r>
      <w:r w:rsidR="00720832">
        <w:t xml:space="preserve"> and theology</w:t>
      </w:r>
      <w:r>
        <w:t xml:space="preserve"> that for generations had been embedded in Hebrew and </w:t>
      </w:r>
      <w:r w:rsidR="00720832">
        <w:t xml:space="preserve">in </w:t>
      </w:r>
      <w:r>
        <w:t>Aramaic</w:t>
      </w:r>
      <w:r w:rsidR="009567DA">
        <w:t xml:space="preserve">. </w:t>
      </w:r>
      <w:r w:rsidR="00640F34">
        <w:t>An important</w:t>
      </w:r>
      <w:r w:rsidR="009567DA">
        <w:t xml:space="preserve"> example</w:t>
      </w:r>
      <w:r w:rsidR="00640F34">
        <w:t xml:space="preserve"> was</w:t>
      </w:r>
      <w:r w:rsidR="00720832">
        <w:t xml:space="preserve"> those followers</w:t>
      </w:r>
      <w:r w:rsidR="009567DA">
        <w:t xml:space="preserve"> of Jesus</w:t>
      </w:r>
      <w:r w:rsidR="00720832">
        <w:t xml:space="preserve"> </w:t>
      </w:r>
      <w:r w:rsidR="009567DA">
        <w:t xml:space="preserve">who had come </w:t>
      </w:r>
      <w:r w:rsidR="00640F34">
        <w:t xml:space="preserve">to </w:t>
      </w:r>
      <w:r w:rsidR="00640F34">
        <w:lastRenderedPageBreak/>
        <w:t xml:space="preserve">Antioch </w:t>
      </w:r>
      <w:r w:rsidR="00720832">
        <w:t>from Cyprus and Cyrene</w:t>
      </w:r>
      <w:r w:rsidR="00640F34">
        <w:t>.</w:t>
      </w:r>
      <w:r w:rsidR="009567DA">
        <w:t xml:space="preserve"> Remarkably they </w:t>
      </w:r>
      <w:r w:rsidR="00720832" w:rsidRPr="00720832">
        <w:t xml:space="preserve">preached </w:t>
      </w:r>
      <w:r w:rsidR="00720832">
        <w:t>to the Greeks</w:t>
      </w:r>
      <w:r w:rsidR="00484FAD">
        <w:t xml:space="preserve"> and not just to Jews</w:t>
      </w:r>
      <w:r w:rsidR="009567DA">
        <w:t>, and in so doing they preached</w:t>
      </w:r>
      <w:r w:rsidR="00720832">
        <w:t xml:space="preserve"> </w:t>
      </w:r>
      <w:r w:rsidR="00720832" w:rsidRPr="00720832">
        <w:t xml:space="preserve">Jesus as </w:t>
      </w:r>
      <w:proofErr w:type="spellStart"/>
      <w:r w:rsidR="00720832" w:rsidRPr="00720832">
        <w:rPr>
          <w:rStyle w:val="Strong"/>
          <w:b w:val="0"/>
          <w:bCs w:val="0"/>
        </w:rPr>
        <w:t>κύριος</w:t>
      </w:r>
      <w:proofErr w:type="spellEnd"/>
      <w:r w:rsidR="00720832" w:rsidRPr="00720832">
        <w:rPr>
          <w:rStyle w:val="Strong"/>
          <w:b w:val="0"/>
          <w:bCs w:val="0"/>
        </w:rPr>
        <w:t xml:space="preserve"> </w:t>
      </w:r>
      <w:r w:rsidR="00720832">
        <w:rPr>
          <w:rStyle w:val="Strong"/>
          <w:b w:val="0"/>
          <w:bCs w:val="0"/>
        </w:rPr>
        <w:t xml:space="preserve">(Kurios) </w:t>
      </w:r>
      <w:r w:rsidR="00720832" w:rsidRPr="00720832">
        <w:rPr>
          <w:rStyle w:val="Strong"/>
          <w:b w:val="0"/>
          <w:bCs w:val="0"/>
        </w:rPr>
        <w:t xml:space="preserve">of the Roman Empire and of all people, not just the </w:t>
      </w:r>
      <w:proofErr w:type="spellStart"/>
      <w:r w:rsidR="00720832" w:rsidRPr="00720832">
        <w:rPr>
          <w:rStyle w:val="Strong"/>
          <w:b w:val="0"/>
          <w:bCs w:val="0"/>
        </w:rPr>
        <w:t>מָש</w:t>
      </w:r>
      <w:proofErr w:type="spellEnd"/>
      <w:r w:rsidR="00720832" w:rsidRPr="00720832">
        <w:rPr>
          <w:rStyle w:val="Strong"/>
          <w:b w:val="0"/>
          <w:bCs w:val="0"/>
        </w:rPr>
        <w:t>ִׁ</w:t>
      </w:r>
      <w:proofErr w:type="spellStart"/>
      <w:r w:rsidR="00720832" w:rsidRPr="00720832">
        <w:rPr>
          <w:rStyle w:val="Strong"/>
          <w:b w:val="0"/>
          <w:bCs w:val="0"/>
        </w:rPr>
        <w:t>יח</w:t>
      </w:r>
      <w:proofErr w:type="spellEnd"/>
      <w:r w:rsidR="00720832" w:rsidRPr="00720832">
        <w:rPr>
          <w:rStyle w:val="Strong"/>
          <w:b w:val="0"/>
          <w:bCs w:val="0"/>
        </w:rPr>
        <w:t>ַ</w:t>
      </w:r>
      <w:r w:rsidR="00720832" w:rsidRPr="00720832">
        <w:rPr>
          <w:b/>
          <w:bCs/>
        </w:rPr>
        <w:t xml:space="preserve"> </w:t>
      </w:r>
      <w:r w:rsidR="00720832" w:rsidRPr="00720832">
        <w:rPr>
          <w:rStyle w:val="Strong"/>
          <w:b w:val="0"/>
          <w:bCs w:val="0"/>
        </w:rPr>
        <w:t>(Messiah) of Old Covenant Israel</w:t>
      </w:r>
      <w:r w:rsidR="00147D88">
        <w:rPr>
          <w:rStyle w:val="Strong"/>
          <w:b w:val="0"/>
          <w:bCs w:val="0"/>
        </w:rPr>
        <w:t xml:space="preserve"> (Acts 11:19-20)</w:t>
      </w:r>
      <w:r w:rsidR="00720832" w:rsidRPr="00720832">
        <w:rPr>
          <w:rStyle w:val="Strong"/>
          <w:b w:val="0"/>
          <w:bCs w:val="0"/>
        </w:rPr>
        <w:t>.</w:t>
      </w:r>
      <w:r w:rsidR="00720832">
        <w:rPr>
          <w:rStyle w:val="Strong"/>
          <w:b w:val="0"/>
          <w:bCs w:val="0"/>
        </w:rPr>
        <w:t xml:space="preserve"> </w:t>
      </w:r>
      <w:r w:rsidR="00E44882">
        <w:rPr>
          <w:rStyle w:val="Strong"/>
          <w:b w:val="0"/>
          <w:bCs w:val="0"/>
        </w:rPr>
        <w:t>E</w:t>
      </w:r>
      <w:r w:rsidR="00720832">
        <w:rPr>
          <w:rStyle w:val="Strong"/>
          <w:b w:val="0"/>
          <w:bCs w:val="0"/>
        </w:rPr>
        <w:t>arly-generation Christians in the Hellenistic world had to “theologize” in Greek to sort matters out for themselves</w:t>
      </w:r>
      <w:r w:rsidR="009567DA">
        <w:rPr>
          <w:rStyle w:val="Strong"/>
          <w:b w:val="0"/>
          <w:bCs w:val="0"/>
        </w:rPr>
        <w:t xml:space="preserve"> and</w:t>
      </w:r>
      <w:r w:rsidR="00E44882">
        <w:rPr>
          <w:rStyle w:val="Strong"/>
          <w:b w:val="0"/>
          <w:bCs w:val="0"/>
        </w:rPr>
        <w:t>, arguably</w:t>
      </w:r>
      <w:r w:rsidR="00720832">
        <w:rPr>
          <w:rStyle w:val="Strong"/>
          <w:b w:val="0"/>
          <w:bCs w:val="0"/>
        </w:rPr>
        <w:t xml:space="preserve"> more importantly</w:t>
      </w:r>
      <w:r w:rsidR="00484FAD">
        <w:rPr>
          <w:rStyle w:val="Strong"/>
          <w:b w:val="0"/>
          <w:bCs w:val="0"/>
        </w:rPr>
        <w:t>,</w:t>
      </w:r>
      <w:r w:rsidR="00720832">
        <w:rPr>
          <w:rStyle w:val="Strong"/>
          <w:b w:val="0"/>
          <w:bCs w:val="0"/>
        </w:rPr>
        <w:t xml:space="preserve"> to </w:t>
      </w:r>
      <w:r w:rsidR="00147D88">
        <w:rPr>
          <w:rStyle w:val="Strong"/>
          <w:b w:val="0"/>
          <w:bCs w:val="0"/>
        </w:rPr>
        <w:t>enable others around them to understand, articulate, and believe</w:t>
      </w:r>
      <w:r w:rsidR="00720832">
        <w:rPr>
          <w:rStyle w:val="Strong"/>
          <w:b w:val="0"/>
          <w:bCs w:val="0"/>
        </w:rPr>
        <w:t xml:space="preserve"> “divine words” </w:t>
      </w:r>
      <w:r w:rsidR="00147D88">
        <w:rPr>
          <w:rStyle w:val="Strong"/>
          <w:b w:val="0"/>
          <w:bCs w:val="0"/>
        </w:rPr>
        <w:t>about the life, death, and resurrection of Jesus of Nazareth</w:t>
      </w:r>
      <w:r w:rsidR="00720832">
        <w:rPr>
          <w:rStyle w:val="Strong"/>
          <w:b w:val="0"/>
          <w:bCs w:val="0"/>
        </w:rPr>
        <w:t>.</w:t>
      </w:r>
    </w:p>
    <w:p w14:paraId="7F6EF8E7" w14:textId="1DE68DB8" w:rsidR="00720832" w:rsidRDefault="00E44882" w:rsidP="00A749D6">
      <w:pPr>
        <w:shd w:val="clear" w:color="auto" w:fill="FFFFFF"/>
        <w:spacing w:after="160"/>
        <w:ind w:firstLine="360"/>
        <w:jc w:val="both"/>
        <w:rPr>
          <w:rStyle w:val="Strong"/>
          <w:b w:val="0"/>
          <w:bCs w:val="0"/>
        </w:rPr>
      </w:pPr>
      <w:r>
        <w:t xml:space="preserve">Of course, early-generation Christians </w:t>
      </w:r>
      <w:r w:rsidR="00147D88">
        <w:t xml:space="preserve">and their acquaintances </w:t>
      </w:r>
      <w:r>
        <w:t xml:space="preserve">in other cultural-linguistic worlds, such as Armenian and Syriac (whose equivalent terms for “theology” are the first two listed in this editorial’s title), also had to find </w:t>
      </w:r>
      <w:r w:rsidR="00F32C8B">
        <w:t>term</w:t>
      </w:r>
      <w:r>
        <w:t>s for understanding</w:t>
      </w:r>
      <w:r w:rsidR="00147D88">
        <w:t>,</w:t>
      </w:r>
      <w:r>
        <w:t xml:space="preserve"> communicating</w:t>
      </w:r>
      <w:r w:rsidR="00147D88">
        <w:t>, and processing</w:t>
      </w:r>
      <w:r>
        <w:t xml:space="preserve"> the Christian gospel. </w:t>
      </w:r>
      <w:r>
        <w:rPr>
          <w:rStyle w:val="Strong"/>
          <w:b w:val="0"/>
          <w:bCs w:val="0"/>
        </w:rPr>
        <w:t>All cross-cultural and cross-generational followers of Jesus</w:t>
      </w:r>
      <w:r w:rsidR="00147D88">
        <w:rPr>
          <w:rStyle w:val="Strong"/>
          <w:b w:val="0"/>
          <w:bCs w:val="0"/>
        </w:rPr>
        <w:t xml:space="preserve">, along with others observing and hearing them, </w:t>
      </w:r>
      <w:r>
        <w:rPr>
          <w:rStyle w:val="Strong"/>
          <w:b w:val="0"/>
          <w:bCs w:val="0"/>
        </w:rPr>
        <w:t>have been “forced” to “contextualize,” to “un-scramble and re-scramble,” the Christian faith</w:t>
      </w:r>
      <w:r w:rsidR="00293A8C">
        <w:rPr>
          <w:rStyle w:val="Strong"/>
          <w:b w:val="0"/>
          <w:bCs w:val="0"/>
        </w:rPr>
        <w:t>—Christian “theology”—</w:t>
      </w:r>
      <w:r>
        <w:rPr>
          <w:rStyle w:val="Strong"/>
          <w:b w:val="0"/>
          <w:bCs w:val="0"/>
        </w:rPr>
        <w:t>for themselves (including in Hindi, Swahili, Arabic, Chinese, and Vietnamese; see again the editorial title). As evidenced by the Bible itself having been given in multiple languages and subsequently translated into countless other tongues, Christianity is a</w:t>
      </w:r>
      <w:r w:rsidR="009567DA">
        <w:rPr>
          <w:rStyle w:val="Strong"/>
          <w:b w:val="0"/>
          <w:bCs w:val="0"/>
        </w:rPr>
        <w:t>n infinitely</w:t>
      </w:r>
      <w:r>
        <w:rPr>
          <w:rStyle w:val="Strong"/>
          <w:b w:val="0"/>
          <w:bCs w:val="0"/>
        </w:rPr>
        <w:t xml:space="preserve"> translatable faith. The triune God intends to be understood deeply and personally</w:t>
      </w:r>
      <w:r w:rsidR="00147D88">
        <w:rPr>
          <w:rStyle w:val="Strong"/>
          <w:b w:val="0"/>
          <w:bCs w:val="0"/>
        </w:rPr>
        <w:t xml:space="preserve"> by all people</w:t>
      </w:r>
      <w:r>
        <w:rPr>
          <w:rStyle w:val="Strong"/>
          <w:b w:val="0"/>
          <w:bCs w:val="0"/>
        </w:rPr>
        <w:t>.</w:t>
      </w:r>
    </w:p>
    <w:p w14:paraId="78C51C06" w14:textId="3D3BB3A3" w:rsidR="00E44882" w:rsidRDefault="00E44882" w:rsidP="00A749D6">
      <w:pPr>
        <w:shd w:val="clear" w:color="auto" w:fill="FFFFFF"/>
        <w:spacing w:after="160"/>
        <w:ind w:firstLine="360"/>
        <w:jc w:val="both"/>
        <w:rPr>
          <w:color w:val="000000"/>
          <w:shd w:val="clear" w:color="auto" w:fill="FFFFFF"/>
        </w:rPr>
      </w:pPr>
      <w:r>
        <w:rPr>
          <w:rStyle w:val="Strong"/>
          <w:b w:val="0"/>
          <w:bCs w:val="0"/>
        </w:rPr>
        <w:t xml:space="preserve">The challenge that this issue’s contributions </w:t>
      </w:r>
      <w:r w:rsidR="00293A8C">
        <w:rPr>
          <w:rStyle w:val="Strong"/>
          <w:b w:val="0"/>
          <w:bCs w:val="0"/>
        </w:rPr>
        <w:t xml:space="preserve">collectively </w:t>
      </w:r>
      <w:r w:rsidR="009567DA">
        <w:rPr>
          <w:rStyle w:val="Strong"/>
          <w:b w:val="0"/>
          <w:bCs w:val="0"/>
        </w:rPr>
        <w:t>tackle</w:t>
      </w:r>
      <w:r>
        <w:rPr>
          <w:rStyle w:val="Strong"/>
          <w:b w:val="0"/>
          <w:bCs w:val="0"/>
        </w:rPr>
        <w:t xml:space="preserve"> is </w:t>
      </w:r>
      <w:r w:rsidR="00484FAD">
        <w:rPr>
          <w:rStyle w:val="Strong"/>
          <w:b w:val="0"/>
          <w:bCs w:val="0"/>
        </w:rPr>
        <w:t xml:space="preserve">that of bridging contextual gaps widened by </w:t>
      </w:r>
      <w:r>
        <w:rPr>
          <w:rStyle w:val="Strong"/>
          <w:b w:val="0"/>
          <w:bCs w:val="0"/>
        </w:rPr>
        <w:t xml:space="preserve">the recurring, historical tendency </w:t>
      </w:r>
      <w:r w:rsidR="00147D88">
        <w:rPr>
          <w:rStyle w:val="Strong"/>
          <w:b w:val="0"/>
          <w:bCs w:val="0"/>
        </w:rPr>
        <w:t>of</w:t>
      </w:r>
      <w:r>
        <w:rPr>
          <w:rStyle w:val="Strong"/>
          <w:b w:val="0"/>
          <w:bCs w:val="0"/>
        </w:rPr>
        <w:t xml:space="preserve"> Christian traditions to </w:t>
      </w:r>
      <w:r w:rsidR="00AD58B4">
        <w:rPr>
          <w:rStyle w:val="Strong"/>
          <w:b w:val="0"/>
          <w:bCs w:val="0"/>
        </w:rPr>
        <w:t xml:space="preserve">unduly </w:t>
      </w:r>
      <w:r>
        <w:rPr>
          <w:rStyle w:val="Strong"/>
          <w:b w:val="0"/>
          <w:bCs w:val="0"/>
        </w:rPr>
        <w:t>guard, freeze, an</w:t>
      </w:r>
      <w:r w:rsidRPr="00E44882">
        <w:rPr>
          <w:rStyle w:val="Strong"/>
          <w:b w:val="0"/>
          <w:bCs w:val="0"/>
        </w:rPr>
        <w:t>d perpetuate</w:t>
      </w:r>
      <w:r>
        <w:rPr>
          <w:rStyle w:val="Strong"/>
          <w:b w:val="0"/>
          <w:bCs w:val="0"/>
        </w:rPr>
        <w:t xml:space="preserve"> </w:t>
      </w:r>
      <w:proofErr w:type="gramStart"/>
      <w:r>
        <w:rPr>
          <w:rStyle w:val="Strong"/>
          <w:b w:val="0"/>
          <w:bCs w:val="0"/>
        </w:rPr>
        <w:t>particular expression</w:t>
      </w:r>
      <w:r w:rsidR="000B7422">
        <w:rPr>
          <w:rStyle w:val="Strong"/>
          <w:b w:val="0"/>
          <w:bCs w:val="0"/>
        </w:rPr>
        <w:t>s</w:t>
      </w:r>
      <w:proofErr w:type="gramEnd"/>
      <w:r>
        <w:rPr>
          <w:rStyle w:val="Strong"/>
          <w:b w:val="0"/>
          <w:bCs w:val="0"/>
        </w:rPr>
        <w:t xml:space="preserve"> of </w:t>
      </w:r>
      <w:r w:rsidRPr="00E44882">
        <w:rPr>
          <w:rStyle w:val="Strong"/>
          <w:b w:val="0"/>
          <w:bCs w:val="0"/>
        </w:rPr>
        <w:t>“</w:t>
      </w:r>
      <w:r w:rsidRPr="00E44882">
        <w:rPr>
          <w:color w:val="000000"/>
          <w:shd w:val="clear" w:color="auto" w:fill="FFFFFF"/>
        </w:rPr>
        <w:t>the faith that was once for all delivered to the saints” (Jude 3).</w:t>
      </w:r>
      <w:r>
        <w:rPr>
          <w:color w:val="000000"/>
          <w:shd w:val="clear" w:color="auto" w:fill="FFFFFF"/>
        </w:rPr>
        <w:t xml:space="preserve"> </w:t>
      </w:r>
      <w:r w:rsidR="009567DA">
        <w:rPr>
          <w:color w:val="000000"/>
          <w:shd w:val="clear" w:color="auto" w:fill="FFFFFF"/>
        </w:rPr>
        <w:t xml:space="preserve">That tendency resists </w:t>
      </w:r>
      <w:r>
        <w:rPr>
          <w:color w:val="000000"/>
          <w:shd w:val="clear" w:color="auto" w:fill="FFFFFF"/>
        </w:rPr>
        <w:t>God</w:t>
      </w:r>
      <w:r w:rsidR="009567DA">
        <w:rPr>
          <w:color w:val="000000"/>
          <w:shd w:val="clear" w:color="auto" w:fill="FFFFFF"/>
        </w:rPr>
        <w:t>’s</w:t>
      </w:r>
      <w:r>
        <w:rPr>
          <w:color w:val="000000"/>
          <w:shd w:val="clear" w:color="auto" w:fill="FFFFFF"/>
        </w:rPr>
        <w:t xml:space="preserve"> inten</w:t>
      </w:r>
      <w:r w:rsidR="009567DA">
        <w:rPr>
          <w:color w:val="000000"/>
          <w:shd w:val="clear" w:color="auto" w:fill="FFFFFF"/>
        </w:rPr>
        <w:t>tion</w:t>
      </w:r>
      <w:r>
        <w:rPr>
          <w:color w:val="000000"/>
          <w:shd w:val="clear" w:color="auto" w:fill="FFFFFF"/>
        </w:rPr>
        <w:t xml:space="preserve"> for </w:t>
      </w:r>
      <w:r w:rsidR="00640F34">
        <w:rPr>
          <w:color w:val="000000"/>
          <w:shd w:val="clear" w:color="auto" w:fill="FFFFFF"/>
        </w:rPr>
        <w:t xml:space="preserve">all </w:t>
      </w:r>
      <w:r>
        <w:rPr>
          <w:color w:val="000000"/>
          <w:shd w:val="clear" w:color="auto" w:fill="FFFFFF"/>
        </w:rPr>
        <w:t>people to understand and trust him and his works in personal, transforming</w:t>
      </w:r>
      <w:r w:rsidR="009567DA">
        <w:rPr>
          <w:color w:val="000000"/>
          <w:shd w:val="clear" w:color="auto" w:fill="FFFFFF"/>
        </w:rPr>
        <w:t>, and culturally appropriate</w:t>
      </w:r>
      <w:r>
        <w:rPr>
          <w:color w:val="000000"/>
          <w:shd w:val="clear" w:color="auto" w:fill="FFFFFF"/>
        </w:rPr>
        <w:t xml:space="preserve"> ways. Foreign expressions of that faith—be they from earlier generations, different cultural-linguistic contexts, or both—</w:t>
      </w:r>
      <w:r w:rsidR="00484FAD">
        <w:rPr>
          <w:color w:val="000000"/>
          <w:shd w:val="clear" w:color="auto" w:fill="FFFFFF"/>
        </w:rPr>
        <w:t xml:space="preserve">can </w:t>
      </w:r>
      <w:r>
        <w:rPr>
          <w:color w:val="000000"/>
          <w:shd w:val="clear" w:color="auto" w:fill="FFFFFF"/>
        </w:rPr>
        <w:t>serve as barriers to personal</w:t>
      </w:r>
      <w:r w:rsidR="009567DA">
        <w:rPr>
          <w:color w:val="000000"/>
          <w:shd w:val="clear" w:color="auto" w:fill="FFFFFF"/>
        </w:rPr>
        <w:t>,</w:t>
      </w:r>
      <w:r>
        <w:rPr>
          <w:color w:val="000000"/>
          <w:shd w:val="clear" w:color="auto" w:fill="FFFFFF"/>
        </w:rPr>
        <w:t xml:space="preserve"> transforming</w:t>
      </w:r>
      <w:r w:rsidR="009567DA">
        <w:rPr>
          <w:color w:val="000000"/>
          <w:shd w:val="clear" w:color="auto" w:fill="FFFFFF"/>
        </w:rPr>
        <w:t>, and culturally “at home”</w:t>
      </w:r>
      <w:r>
        <w:rPr>
          <w:color w:val="000000"/>
          <w:shd w:val="clear" w:color="auto" w:fill="FFFFFF"/>
        </w:rPr>
        <w:t xml:space="preserve"> faith. </w:t>
      </w:r>
      <w:r w:rsidR="00484FAD">
        <w:rPr>
          <w:color w:val="000000"/>
          <w:shd w:val="clear" w:color="auto" w:fill="FFFFFF"/>
        </w:rPr>
        <w:t xml:space="preserve">How to deal </w:t>
      </w:r>
      <w:r w:rsidR="00147D88">
        <w:rPr>
          <w:color w:val="000000"/>
          <w:shd w:val="clear" w:color="auto" w:fill="FFFFFF"/>
        </w:rPr>
        <w:t xml:space="preserve">constructively </w:t>
      </w:r>
      <w:r w:rsidR="00484FAD">
        <w:rPr>
          <w:color w:val="000000"/>
          <w:shd w:val="clear" w:color="auto" w:fill="FFFFFF"/>
        </w:rPr>
        <w:t xml:space="preserve">with </w:t>
      </w:r>
      <w:r>
        <w:rPr>
          <w:color w:val="000000"/>
          <w:shd w:val="clear" w:color="auto" w:fill="FFFFFF"/>
        </w:rPr>
        <w:t>“</w:t>
      </w:r>
      <w:r w:rsidR="00484FAD">
        <w:rPr>
          <w:color w:val="000000"/>
          <w:shd w:val="clear" w:color="auto" w:fill="FFFFFF"/>
        </w:rPr>
        <w:t>f</w:t>
      </w:r>
      <w:r>
        <w:rPr>
          <w:color w:val="000000"/>
          <w:shd w:val="clear" w:color="auto" w:fill="FFFFFF"/>
        </w:rPr>
        <w:t xml:space="preserve">oreign ‘theology’” is </w:t>
      </w:r>
      <w:r w:rsidR="00484FAD">
        <w:rPr>
          <w:color w:val="000000"/>
          <w:shd w:val="clear" w:color="auto" w:fill="FFFFFF"/>
        </w:rPr>
        <w:t>the common thread that runs through</w:t>
      </w:r>
      <w:r>
        <w:rPr>
          <w:color w:val="000000"/>
          <w:shd w:val="clear" w:color="auto" w:fill="FFFFFF"/>
        </w:rPr>
        <w:t xml:space="preserve"> this issue’s article and book reviews.</w:t>
      </w:r>
    </w:p>
    <w:p w14:paraId="0F1D5505" w14:textId="4017F460" w:rsidR="00E44882" w:rsidRDefault="00E44882" w:rsidP="00A749D6">
      <w:pPr>
        <w:shd w:val="clear" w:color="auto" w:fill="FFFFFF"/>
        <w:spacing w:after="160"/>
        <w:ind w:firstLine="360"/>
        <w:jc w:val="both"/>
        <w:rPr>
          <w:color w:val="001320"/>
          <w:shd w:val="clear" w:color="auto" w:fill="FFFFFF"/>
        </w:rPr>
      </w:pPr>
      <w:r>
        <w:rPr>
          <w:color w:val="000000"/>
          <w:shd w:val="clear" w:color="auto" w:fill="FFFFFF"/>
        </w:rPr>
        <w:t xml:space="preserve">On </w:t>
      </w:r>
      <w:r w:rsidR="00B616E8">
        <w:rPr>
          <w:color w:val="000000"/>
          <w:shd w:val="clear" w:color="auto" w:fill="FFFFFF"/>
        </w:rPr>
        <w:t xml:space="preserve">the </w:t>
      </w:r>
      <w:r>
        <w:rPr>
          <w:color w:val="000000"/>
          <w:shd w:val="clear" w:color="auto" w:fill="FFFFFF"/>
        </w:rPr>
        <w:t xml:space="preserve">one hand, </w:t>
      </w:r>
      <w:r w:rsidR="00B616E8">
        <w:rPr>
          <w:color w:val="000000"/>
          <w:shd w:val="clear" w:color="auto" w:fill="FFFFFF"/>
        </w:rPr>
        <w:t>w</w:t>
      </w:r>
      <w:r>
        <w:rPr>
          <w:color w:val="000000"/>
          <w:shd w:val="clear" w:color="auto" w:fill="FFFFFF"/>
        </w:rPr>
        <w:t>hat</w:t>
      </w:r>
      <w:r w:rsidR="00B616E8">
        <w:rPr>
          <w:color w:val="000000"/>
          <w:shd w:val="clear" w:color="auto" w:fill="FFFFFF"/>
        </w:rPr>
        <w:t xml:space="preserve"> has become a</w:t>
      </w:r>
      <w:r>
        <w:rPr>
          <w:color w:val="000000"/>
          <w:shd w:val="clear" w:color="auto" w:fill="FFFFFF"/>
        </w:rPr>
        <w:t xml:space="preserve"> “foreign ‘theology’” </w:t>
      </w:r>
      <w:r w:rsidR="009567DA">
        <w:rPr>
          <w:color w:val="000000"/>
          <w:shd w:val="clear" w:color="auto" w:fill="FFFFFF"/>
        </w:rPr>
        <w:t xml:space="preserve">for many throughout today’s world </w:t>
      </w:r>
      <w:r>
        <w:rPr>
          <w:color w:val="000000"/>
          <w:shd w:val="clear" w:color="auto" w:fill="FFFFFF"/>
        </w:rPr>
        <w:t xml:space="preserve">is, or at least </w:t>
      </w:r>
      <w:r w:rsidRPr="00E44882">
        <w:rPr>
          <w:i/>
          <w:iCs/>
          <w:color w:val="000000"/>
          <w:shd w:val="clear" w:color="auto" w:fill="FFFFFF"/>
        </w:rPr>
        <w:t>was</w:t>
      </w:r>
      <w:r>
        <w:rPr>
          <w:color w:val="000000"/>
          <w:shd w:val="clear" w:color="auto" w:fill="FFFFFF"/>
        </w:rPr>
        <w:t xml:space="preserve">, a </w:t>
      </w:r>
      <w:r w:rsidR="00B616E8">
        <w:rPr>
          <w:color w:val="000000"/>
          <w:shd w:val="clear" w:color="auto" w:fill="FFFFFF"/>
        </w:rPr>
        <w:t>healthy</w:t>
      </w:r>
      <w:r>
        <w:rPr>
          <w:color w:val="000000"/>
          <w:shd w:val="clear" w:color="auto" w:fill="FFFFFF"/>
        </w:rPr>
        <w:t xml:space="preserve"> expression of who God is and what he has done. </w:t>
      </w:r>
      <w:r w:rsidR="00B616E8">
        <w:rPr>
          <w:color w:val="000000"/>
          <w:shd w:val="clear" w:color="auto" w:fill="FFFFFF"/>
        </w:rPr>
        <w:t>The Hellenistic context within which the New Testament was given, and within which early Eastern Mediterranean Christian communities l</w:t>
      </w:r>
      <w:r w:rsidR="00B616E8" w:rsidRPr="00B616E8">
        <w:rPr>
          <w:color w:val="000000"/>
          <w:shd w:val="clear" w:color="auto" w:fill="FFFFFF"/>
        </w:rPr>
        <w:t xml:space="preserve">ived and witnessed, demanded </w:t>
      </w:r>
      <w:r w:rsidR="00B616E8">
        <w:rPr>
          <w:color w:val="000000"/>
          <w:shd w:val="clear" w:color="auto" w:fill="FFFFFF"/>
        </w:rPr>
        <w:t xml:space="preserve">Greek </w:t>
      </w:r>
      <w:r w:rsidR="00B616E8" w:rsidRPr="00B616E8">
        <w:rPr>
          <w:color w:val="000000"/>
          <w:shd w:val="clear" w:color="auto" w:fill="FFFFFF"/>
        </w:rPr>
        <w:t>“words” and “studies”—</w:t>
      </w:r>
      <w:proofErr w:type="spellStart"/>
      <w:r w:rsidR="00B616E8" w:rsidRPr="00B616E8">
        <w:t>λόγος</w:t>
      </w:r>
      <w:proofErr w:type="spellEnd"/>
      <w:r w:rsidR="00B616E8" w:rsidRPr="00B616E8">
        <w:t xml:space="preserve"> (logos)—</w:t>
      </w:r>
      <w:r w:rsidR="00B616E8">
        <w:t>about</w:t>
      </w:r>
      <w:r w:rsidR="00B616E8" w:rsidRPr="00B616E8">
        <w:t xml:space="preserve"> deity—</w:t>
      </w:r>
      <w:proofErr w:type="spellStart"/>
      <w:r w:rsidR="00B616E8" w:rsidRPr="00B616E8">
        <w:rPr>
          <w:color w:val="001320"/>
          <w:shd w:val="clear" w:color="auto" w:fill="FFFFFF"/>
        </w:rPr>
        <w:t>θεός</w:t>
      </w:r>
      <w:proofErr w:type="spellEnd"/>
      <w:r w:rsidR="00B616E8" w:rsidRPr="00B616E8">
        <w:rPr>
          <w:color w:val="001320"/>
          <w:shd w:val="clear" w:color="auto" w:fill="FFFFFF"/>
        </w:rPr>
        <w:t xml:space="preserve"> (</w:t>
      </w:r>
      <w:proofErr w:type="spellStart"/>
      <w:r w:rsidR="00B616E8" w:rsidRPr="00B616E8">
        <w:rPr>
          <w:color w:val="001320"/>
          <w:shd w:val="clear" w:color="auto" w:fill="FFFFFF"/>
        </w:rPr>
        <w:t>theos</w:t>
      </w:r>
      <w:proofErr w:type="spellEnd"/>
      <w:r w:rsidR="00B616E8" w:rsidRPr="00B616E8">
        <w:rPr>
          <w:color w:val="001320"/>
          <w:shd w:val="clear" w:color="auto" w:fill="FFFFFF"/>
        </w:rPr>
        <w:t>)</w:t>
      </w:r>
      <w:r w:rsidR="00B616E8">
        <w:rPr>
          <w:color w:val="001320"/>
          <w:shd w:val="clear" w:color="auto" w:fill="FFFFFF"/>
        </w:rPr>
        <w:t>—that meshed with Greek conceptual categories. Hebrew and Aramaic had different categories; neither had a separate concept or term equivalent to “theology,” for example. The development of Greek and Greco-Roman “theology” was a contextual necessity birthed from Christian mission</w:t>
      </w:r>
      <w:r w:rsidR="00147D88">
        <w:rPr>
          <w:color w:val="001320"/>
          <w:shd w:val="clear" w:color="auto" w:fill="FFFFFF"/>
        </w:rPr>
        <w:t xml:space="preserve">, as </w:t>
      </w:r>
      <w:r w:rsidR="00147D88">
        <w:t>K</w:t>
      </w:r>
      <w:r w:rsidR="00147D88" w:rsidRPr="00A749D6">
        <w:rPr>
          <w:color w:val="1F1F1F"/>
          <w:shd w:val="clear" w:color="auto" w:fill="FFFFFF"/>
        </w:rPr>
        <w:t>ä</w:t>
      </w:r>
      <w:r w:rsidR="00147D88">
        <w:t>hler, Bosch, and others have observed</w:t>
      </w:r>
      <w:r w:rsidR="00B616E8">
        <w:rPr>
          <w:color w:val="001320"/>
          <w:shd w:val="clear" w:color="auto" w:fill="FFFFFF"/>
        </w:rPr>
        <w:t>.</w:t>
      </w:r>
    </w:p>
    <w:p w14:paraId="1B036FA1" w14:textId="01B78752" w:rsidR="00B616E8" w:rsidRDefault="00B616E8" w:rsidP="00A749D6">
      <w:pPr>
        <w:shd w:val="clear" w:color="auto" w:fill="FFFFFF"/>
        <w:spacing w:after="160"/>
        <w:ind w:firstLine="360"/>
        <w:jc w:val="both"/>
        <w:rPr>
          <w:color w:val="001320"/>
          <w:shd w:val="clear" w:color="auto" w:fill="FFFFFF"/>
        </w:rPr>
      </w:pPr>
      <w:r>
        <w:rPr>
          <w:color w:val="001320"/>
          <w:shd w:val="clear" w:color="auto" w:fill="FFFFFF"/>
        </w:rPr>
        <w:t xml:space="preserve">Many Western languages’ indebtedness to Greek and Latin, accompanied by </w:t>
      </w:r>
      <w:r w:rsidR="00640F34">
        <w:rPr>
          <w:color w:val="001320"/>
          <w:shd w:val="clear" w:color="auto" w:fill="FFFFFF"/>
        </w:rPr>
        <w:t xml:space="preserve">several </w:t>
      </w:r>
      <w:r>
        <w:rPr>
          <w:color w:val="001320"/>
          <w:shd w:val="clear" w:color="auto" w:fill="FFFFFF"/>
        </w:rPr>
        <w:t xml:space="preserve">Western societies’ Greco-Roman conceptual heritage, make the continuing </w:t>
      </w:r>
      <w:r w:rsidR="00F32C8B">
        <w:rPr>
          <w:color w:val="001320"/>
          <w:shd w:val="clear" w:color="auto" w:fill="FFFFFF"/>
        </w:rPr>
        <w:t xml:space="preserve">linguistic-intellectual </w:t>
      </w:r>
      <w:r>
        <w:rPr>
          <w:color w:val="001320"/>
          <w:shd w:val="clear" w:color="auto" w:fill="FFFFFF"/>
        </w:rPr>
        <w:t xml:space="preserve">use by </w:t>
      </w:r>
      <w:r w:rsidR="00147D88">
        <w:rPr>
          <w:color w:val="001320"/>
          <w:shd w:val="clear" w:color="auto" w:fill="FFFFFF"/>
        </w:rPr>
        <w:t xml:space="preserve">much of </w:t>
      </w:r>
      <w:r>
        <w:rPr>
          <w:color w:val="001320"/>
          <w:shd w:val="clear" w:color="auto" w:fill="FFFFFF"/>
        </w:rPr>
        <w:t>Western Christianity of “</w:t>
      </w:r>
      <w:proofErr w:type="spellStart"/>
      <w:r>
        <w:rPr>
          <w:color w:val="001320"/>
          <w:shd w:val="clear" w:color="auto" w:fill="FFFFFF"/>
        </w:rPr>
        <w:t>theo</w:t>
      </w:r>
      <w:r w:rsidR="00147D88">
        <w:rPr>
          <w:color w:val="001320"/>
          <w:shd w:val="clear" w:color="auto" w:fill="FFFFFF"/>
        </w:rPr>
        <w:t>s</w:t>
      </w:r>
      <w:proofErr w:type="spellEnd"/>
      <w:r w:rsidR="00147D88">
        <w:rPr>
          <w:color w:val="001320"/>
          <w:shd w:val="clear" w:color="auto" w:fill="FFFFFF"/>
        </w:rPr>
        <w:t>-</w:t>
      </w:r>
      <w:r>
        <w:rPr>
          <w:color w:val="001320"/>
          <w:shd w:val="clear" w:color="auto" w:fill="FFFFFF"/>
        </w:rPr>
        <w:t>log</w:t>
      </w:r>
      <w:r w:rsidR="00147D88">
        <w:rPr>
          <w:color w:val="001320"/>
          <w:shd w:val="clear" w:color="auto" w:fill="FFFFFF"/>
        </w:rPr>
        <w:t>os</w:t>
      </w:r>
      <w:r>
        <w:rPr>
          <w:color w:val="001320"/>
          <w:shd w:val="clear" w:color="auto" w:fill="FFFFFF"/>
        </w:rPr>
        <w:t xml:space="preserve">” only natural and appropriate. Furthermore, the Church’s fundamental unity and catholicity behoove other, “non-Western” branches of the Church, as well as contemporary </w:t>
      </w:r>
      <w:r w:rsidR="009567DA">
        <w:rPr>
          <w:color w:val="001320"/>
          <w:shd w:val="clear" w:color="auto" w:fill="FFFFFF"/>
        </w:rPr>
        <w:t>so-called “</w:t>
      </w:r>
      <w:r>
        <w:rPr>
          <w:color w:val="001320"/>
          <w:shd w:val="clear" w:color="auto" w:fill="FFFFFF"/>
        </w:rPr>
        <w:t>postmodern</w:t>
      </w:r>
      <w:r w:rsidR="009567DA">
        <w:rPr>
          <w:color w:val="001320"/>
          <w:shd w:val="clear" w:color="auto" w:fill="FFFFFF"/>
        </w:rPr>
        <w:t>”</w:t>
      </w:r>
      <w:r w:rsidR="00147D88">
        <w:rPr>
          <w:color w:val="001320"/>
          <w:shd w:val="clear" w:color="auto" w:fill="FFFFFF"/>
        </w:rPr>
        <w:t xml:space="preserve"> and “</w:t>
      </w:r>
      <w:proofErr w:type="spellStart"/>
      <w:r w:rsidR="00147D88">
        <w:rPr>
          <w:color w:val="001320"/>
          <w:shd w:val="clear" w:color="auto" w:fill="FFFFFF"/>
        </w:rPr>
        <w:t>postsecular</w:t>
      </w:r>
      <w:proofErr w:type="spellEnd"/>
      <w:r w:rsidR="00147D88">
        <w:rPr>
          <w:color w:val="001320"/>
          <w:shd w:val="clear" w:color="auto" w:fill="FFFFFF"/>
        </w:rPr>
        <w:t>”</w:t>
      </w:r>
      <w:r>
        <w:rPr>
          <w:color w:val="001320"/>
          <w:shd w:val="clear" w:color="auto" w:fill="FFFFFF"/>
        </w:rPr>
        <w:t xml:space="preserve"> (and otherwise newly shaped) Western Christian communities, to utilize “theology” and its many developments over the many generations since those early Eastern Mediterranean times.</w:t>
      </w:r>
    </w:p>
    <w:p w14:paraId="5921CE6B" w14:textId="066A0585" w:rsidR="00B616E8" w:rsidRPr="00E44882" w:rsidRDefault="00B616E8" w:rsidP="00A749D6">
      <w:pPr>
        <w:shd w:val="clear" w:color="auto" w:fill="FFFFFF"/>
        <w:spacing w:after="160"/>
        <w:ind w:firstLine="360"/>
        <w:jc w:val="both"/>
      </w:pPr>
      <w:r>
        <w:rPr>
          <w:color w:val="001320"/>
          <w:shd w:val="clear" w:color="auto" w:fill="FFFFFF"/>
        </w:rPr>
        <w:t xml:space="preserve">On the other hand, no single expression of the Christian faith—including the “theology” that </w:t>
      </w:r>
      <w:r w:rsidR="009567DA">
        <w:rPr>
          <w:color w:val="001320"/>
          <w:shd w:val="clear" w:color="auto" w:fill="FFFFFF"/>
        </w:rPr>
        <w:t xml:space="preserve">long ago </w:t>
      </w:r>
      <w:r>
        <w:rPr>
          <w:color w:val="001320"/>
          <w:shd w:val="clear" w:color="auto" w:fill="FFFFFF"/>
        </w:rPr>
        <w:t xml:space="preserve">was birthed within </w:t>
      </w:r>
      <w:r w:rsidR="009567DA">
        <w:rPr>
          <w:color w:val="001320"/>
          <w:shd w:val="clear" w:color="auto" w:fill="FFFFFF"/>
        </w:rPr>
        <w:t>Greco-Roman</w:t>
      </w:r>
      <w:r>
        <w:rPr>
          <w:color w:val="001320"/>
          <w:shd w:val="clear" w:color="auto" w:fill="FFFFFF"/>
        </w:rPr>
        <w:t xml:space="preserve"> </w:t>
      </w:r>
      <w:r w:rsidR="00640F34">
        <w:rPr>
          <w:color w:val="001320"/>
          <w:shd w:val="clear" w:color="auto" w:fill="FFFFFF"/>
        </w:rPr>
        <w:t>circles</w:t>
      </w:r>
      <w:r>
        <w:rPr>
          <w:color w:val="001320"/>
          <w:shd w:val="clear" w:color="auto" w:fill="FFFFFF"/>
        </w:rPr>
        <w:t xml:space="preserve"> out of missional engagement—should be </w:t>
      </w:r>
      <w:r>
        <w:rPr>
          <w:rStyle w:val="Strong"/>
          <w:b w:val="0"/>
          <w:bCs w:val="0"/>
        </w:rPr>
        <w:t>tenaciously guarded, frozen, or</w:t>
      </w:r>
      <w:r w:rsidRPr="00E44882">
        <w:rPr>
          <w:rStyle w:val="Strong"/>
          <w:b w:val="0"/>
          <w:bCs w:val="0"/>
        </w:rPr>
        <w:t xml:space="preserve"> perpetuate</w:t>
      </w:r>
      <w:r>
        <w:rPr>
          <w:rStyle w:val="Strong"/>
          <w:b w:val="0"/>
          <w:bCs w:val="0"/>
        </w:rPr>
        <w:t>d</w:t>
      </w:r>
      <w:r w:rsidRPr="00E44882">
        <w:rPr>
          <w:rStyle w:val="Strong"/>
          <w:b w:val="0"/>
          <w:bCs w:val="0"/>
        </w:rPr>
        <w:t xml:space="preserve"> </w:t>
      </w:r>
      <w:r>
        <w:rPr>
          <w:rStyle w:val="Strong"/>
          <w:b w:val="0"/>
          <w:bCs w:val="0"/>
        </w:rPr>
        <w:t xml:space="preserve">in ways that hinder ongoing missional engagement in </w:t>
      </w:r>
      <w:r w:rsidR="00640F34">
        <w:rPr>
          <w:rStyle w:val="Strong"/>
          <w:b w:val="0"/>
          <w:bCs w:val="0"/>
        </w:rPr>
        <w:t xml:space="preserve">new and </w:t>
      </w:r>
      <w:r>
        <w:rPr>
          <w:rStyle w:val="Strong"/>
          <w:b w:val="0"/>
          <w:bCs w:val="0"/>
        </w:rPr>
        <w:t xml:space="preserve">different settings. Christian unity and catholicity are linked with diversity and </w:t>
      </w:r>
      <w:r>
        <w:rPr>
          <w:rStyle w:val="Strong"/>
          <w:b w:val="0"/>
          <w:bCs w:val="0"/>
        </w:rPr>
        <w:lastRenderedPageBreak/>
        <w:t>particularity. Moreover, the need for new and sometimes corrective expressions of “theology”</w:t>
      </w:r>
      <w:r w:rsidR="00147D88">
        <w:rPr>
          <w:rStyle w:val="Strong"/>
          <w:b w:val="0"/>
          <w:bCs w:val="0"/>
        </w:rPr>
        <w:t xml:space="preserve"> (as articulated in</w:t>
      </w:r>
      <w:r w:rsidR="00F32C8B">
        <w:rPr>
          <w:rStyle w:val="Strong"/>
          <w:b w:val="0"/>
          <w:bCs w:val="0"/>
        </w:rPr>
        <w:t xml:space="preserve"> or translated from</w:t>
      </w:r>
      <w:r w:rsidR="00147D88">
        <w:rPr>
          <w:rStyle w:val="Strong"/>
          <w:b w:val="0"/>
          <w:bCs w:val="0"/>
        </w:rPr>
        <w:t xml:space="preserve"> English)</w:t>
      </w:r>
      <w:r>
        <w:rPr>
          <w:rStyle w:val="Strong"/>
          <w:b w:val="0"/>
          <w:bCs w:val="0"/>
        </w:rPr>
        <w:t xml:space="preserve"> is made even more acute in today’s historical pivot</w:t>
      </w:r>
      <w:r w:rsidR="00147D88">
        <w:rPr>
          <w:rStyle w:val="Strong"/>
          <w:b w:val="0"/>
          <w:bCs w:val="0"/>
        </w:rPr>
        <w:t xml:space="preserve">, at least </w:t>
      </w:r>
      <w:r w:rsidR="00293A8C">
        <w:rPr>
          <w:rStyle w:val="Strong"/>
          <w:b w:val="0"/>
          <w:bCs w:val="0"/>
        </w:rPr>
        <w:t xml:space="preserve">by Christians and by others </w:t>
      </w:r>
      <w:r w:rsidR="00147D88">
        <w:rPr>
          <w:rStyle w:val="Strong"/>
          <w:b w:val="0"/>
          <w:bCs w:val="0"/>
        </w:rPr>
        <w:t>in many parts of the world,</w:t>
      </w:r>
      <w:r>
        <w:rPr>
          <w:rStyle w:val="Strong"/>
          <w:b w:val="0"/>
          <w:bCs w:val="0"/>
        </w:rPr>
        <w:t xml:space="preserve"> </w:t>
      </w:r>
      <w:r w:rsidR="00F32C8B">
        <w:rPr>
          <w:rStyle w:val="Strong"/>
          <w:b w:val="0"/>
          <w:bCs w:val="0"/>
        </w:rPr>
        <w:t xml:space="preserve">away </w:t>
      </w:r>
      <w:r>
        <w:rPr>
          <w:rStyle w:val="Strong"/>
          <w:b w:val="0"/>
          <w:bCs w:val="0"/>
        </w:rPr>
        <w:t xml:space="preserve">from the </w:t>
      </w:r>
      <w:r w:rsidR="00F32C8B">
        <w:rPr>
          <w:rStyle w:val="Strong"/>
          <w:b w:val="0"/>
          <w:bCs w:val="0"/>
        </w:rPr>
        <w:t>often assumed, unconscious</w:t>
      </w:r>
      <w:r>
        <w:rPr>
          <w:rStyle w:val="Strong"/>
          <w:b w:val="0"/>
          <w:bCs w:val="0"/>
        </w:rPr>
        <w:t xml:space="preserve"> guardianship and </w:t>
      </w:r>
      <w:r w:rsidR="00F32C8B">
        <w:rPr>
          <w:rStyle w:val="Strong"/>
          <w:b w:val="0"/>
          <w:bCs w:val="0"/>
        </w:rPr>
        <w:t>imposition</w:t>
      </w:r>
      <w:r>
        <w:rPr>
          <w:rStyle w:val="Strong"/>
          <w:b w:val="0"/>
          <w:bCs w:val="0"/>
        </w:rPr>
        <w:t xml:space="preserve"> of tradition </w:t>
      </w:r>
      <w:r w:rsidR="00F32C8B">
        <w:rPr>
          <w:rStyle w:val="Strong"/>
          <w:b w:val="0"/>
          <w:bCs w:val="0"/>
        </w:rPr>
        <w:t>associated with</w:t>
      </w:r>
      <w:r>
        <w:rPr>
          <w:rStyle w:val="Strong"/>
          <w:b w:val="0"/>
          <w:bCs w:val="0"/>
        </w:rPr>
        <w:t xml:space="preserve"> </w:t>
      </w:r>
      <w:r w:rsidR="00640F34">
        <w:rPr>
          <w:rStyle w:val="Strong"/>
          <w:b w:val="0"/>
          <w:bCs w:val="0"/>
        </w:rPr>
        <w:t>the</w:t>
      </w:r>
      <w:r>
        <w:rPr>
          <w:rStyle w:val="Strong"/>
          <w:b w:val="0"/>
          <w:bCs w:val="0"/>
        </w:rPr>
        <w:t xml:space="preserve"> widespread cultural presence</w:t>
      </w:r>
      <w:r w:rsidR="000B7422">
        <w:rPr>
          <w:rStyle w:val="Strong"/>
          <w:b w:val="0"/>
          <w:bCs w:val="0"/>
        </w:rPr>
        <w:t xml:space="preserve"> fostered by</w:t>
      </w:r>
      <w:r>
        <w:rPr>
          <w:rStyle w:val="Strong"/>
          <w:b w:val="0"/>
          <w:bCs w:val="0"/>
        </w:rPr>
        <w:t xml:space="preserve"> British and U.S. economic and military power.</w:t>
      </w:r>
    </w:p>
    <w:p w14:paraId="02B61F31" w14:textId="5321115A" w:rsidR="00A749D6" w:rsidRDefault="00B616E8" w:rsidP="00A749D6">
      <w:pPr>
        <w:shd w:val="clear" w:color="auto" w:fill="FFFFFF"/>
        <w:spacing w:after="160"/>
        <w:ind w:firstLine="360"/>
        <w:jc w:val="both"/>
      </w:pPr>
      <w:r>
        <w:t>Today’s missional need for fresh theological expressions</w:t>
      </w:r>
      <w:r w:rsidR="00F32C8B">
        <w:t xml:space="preserve"> and personal development</w:t>
      </w:r>
      <w:r>
        <w:t xml:space="preserve"> is why Hemming and Handley commend to others the kind of competency-based theological education that has recently taken root in Kenya; the academic-only leadership training perpetuated in many Western-based models is insufficient for the kind of church leaders needed in today’s diverse and changing settings. That same need drives Steffen and Neu, as presented by Manokaran, </w:t>
      </w:r>
      <w:r w:rsidR="009567DA">
        <w:t xml:space="preserve">to </w:t>
      </w:r>
      <w:r>
        <w:t xml:space="preserve">advocate a “character theology” that emphasizes </w:t>
      </w:r>
      <w:r w:rsidR="009567DA">
        <w:t xml:space="preserve">God’s revelation through </w:t>
      </w:r>
      <w:r>
        <w:t>people</w:t>
      </w:r>
      <w:r w:rsidR="009567DA">
        <w:t>’s</w:t>
      </w:r>
      <w:r>
        <w:t xml:space="preserve"> </w:t>
      </w:r>
      <w:r w:rsidR="00640F34">
        <w:t xml:space="preserve">lives </w:t>
      </w:r>
      <w:r>
        <w:t>more than just</w:t>
      </w:r>
      <w:r w:rsidR="009567DA">
        <w:t xml:space="preserve"> through</w:t>
      </w:r>
      <w:r>
        <w:t xml:space="preserve"> concepts. Similarly, </w:t>
      </w:r>
      <w:proofErr w:type="spellStart"/>
      <w:r>
        <w:t>Gashute</w:t>
      </w:r>
      <w:proofErr w:type="spellEnd"/>
      <w:r>
        <w:t xml:space="preserve"> reviews a recent publication of African interpretations of the New Testament, facilitating direct missional engagements between the Scriptures and various African settings. What missional engagement needs in “post-Christendom” societies i</w:t>
      </w:r>
      <w:r w:rsidR="009567DA">
        <w:t>s</w:t>
      </w:r>
      <w:r>
        <w:t xml:space="preserve"> an important </w:t>
      </w:r>
      <w:r w:rsidR="009567DA">
        <w:t>focus</w:t>
      </w:r>
      <w:r>
        <w:t xml:space="preserve"> </w:t>
      </w:r>
      <w:r w:rsidR="00640F34">
        <w:t>of</w:t>
      </w:r>
      <w:r>
        <w:t xml:space="preserve"> cultural apologetics, as Bishop explains.</w:t>
      </w:r>
    </w:p>
    <w:p w14:paraId="5E373AF8" w14:textId="10811D11" w:rsidR="009567DA" w:rsidRDefault="00B616E8" w:rsidP="00A749D6">
      <w:pPr>
        <w:shd w:val="clear" w:color="auto" w:fill="FFFFFF"/>
        <w:spacing w:after="160"/>
        <w:ind w:firstLine="360"/>
        <w:jc w:val="both"/>
      </w:pPr>
      <w:proofErr w:type="gramStart"/>
      <w:r>
        <w:t>So</w:t>
      </w:r>
      <w:proofErr w:type="gramEnd"/>
      <w:r>
        <w:t xml:space="preserve"> who is “theology” for? </w:t>
      </w:r>
      <w:r w:rsidR="009567DA">
        <w:t>An important qualifi</w:t>
      </w:r>
      <w:r w:rsidR="00484FAD">
        <w:t>cation</w:t>
      </w:r>
      <w:r w:rsidR="009567DA">
        <w:t xml:space="preserve"> </w:t>
      </w:r>
      <w:r w:rsidR="00147D88">
        <w:t>at this point</w:t>
      </w:r>
      <w:r w:rsidR="009567DA">
        <w:t xml:space="preserve"> is that Hemming and Handley, in advocating holistic, competency-based theological training, do not therefore argue for </w:t>
      </w:r>
      <w:r w:rsidR="009567DA" w:rsidRPr="00147D88">
        <w:rPr>
          <w:i/>
          <w:iCs/>
        </w:rPr>
        <w:t>replacing</w:t>
      </w:r>
      <w:r w:rsidR="009567DA">
        <w:t xml:space="preserve"> traditional intellectual theological education. They instead appeal for collaboration and mutual strengthening between models. Similarly, Kwame Bediako</w:t>
      </w:r>
      <w:r w:rsidR="00AD58B4">
        <w:t>—perhaps more than any other scholar—championed</w:t>
      </w:r>
      <w:r w:rsidR="009567DA">
        <w:t xml:space="preserve"> the fundamental viability and “abiding” importance of everyday, “grassroots,” vernacular, and oral theological understandings and expressions. He thus urged “academic theology to be in touch with, to listen to, to share in, and to learn from, but never to replace” such “spontaneous … theology which comes from where the faith lives” (Bediako, 2000, p. 17). At the same time, Bediako (including through his own example) did not therefore dismiss the ongoing role of </w:t>
      </w:r>
      <w:r w:rsidR="00640F34">
        <w:t xml:space="preserve">inscribed and published </w:t>
      </w:r>
      <w:r w:rsidR="009567DA">
        <w:t xml:space="preserve">intellectual theologizing. Acknowledging the leading role played by everyday theologians and their communities should not lead to removing </w:t>
      </w:r>
      <w:r w:rsidR="00640F34">
        <w:t>stage</w:t>
      </w:r>
      <w:r w:rsidR="009567DA">
        <w:t xml:space="preserve"> lighting from those making academic contributions.</w:t>
      </w:r>
    </w:p>
    <w:p w14:paraId="46DBC554" w14:textId="1FF32A78" w:rsidR="00B616E8" w:rsidRDefault="00B616E8" w:rsidP="00A749D6">
      <w:pPr>
        <w:shd w:val="clear" w:color="auto" w:fill="FFFFFF"/>
        <w:spacing w:after="160"/>
        <w:ind w:firstLine="360"/>
        <w:jc w:val="both"/>
      </w:pPr>
      <w:r>
        <w:t xml:space="preserve">In an almost passing </w:t>
      </w:r>
      <w:r w:rsidR="000B7422">
        <w:t>comment</w:t>
      </w:r>
      <w:r>
        <w:t xml:space="preserve"> in his lengthy testimony to King Agrippa and other di</w:t>
      </w:r>
      <w:r w:rsidRPr="00B616E8">
        <w:t xml:space="preserve">gnitaries, the Apostle Paul </w:t>
      </w:r>
      <w:r>
        <w:t>recoun</w:t>
      </w:r>
      <w:r w:rsidRPr="00B616E8">
        <w:t xml:space="preserve">ted how the risen </w:t>
      </w:r>
      <w:r>
        <w:t>Jesus</w:t>
      </w:r>
      <w:r w:rsidRPr="00B616E8">
        <w:t xml:space="preserve"> had appeared to him: “</w:t>
      </w:r>
      <w:r w:rsidRPr="00B616E8">
        <w:rPr>
          <w:color w:val="000000"/>
          <w:shd w:val="clear" w:color="auto" w:fill="FFFFFF"/>
        </w:rPr>
        <w:t>I heard a voice saying to me in the Hebrew language [</w:t>
      </w:r>
      <w:proofErr w:type="spellStart"/>
      <w:r w:rsidRPr="00B616E8">
        <w:rPr>
          <w:color w:val="000000"/>
          <w:shd w:val="clear" w:color="auto" w:fill="FFFFFF"/>
        </w:rPr>
        <w:t>τη</w:t>
      </w:r>
      <w:proofErr w:type="spellEnd"/>
      <w:r w:rsidRPr="00B616E8">
        <w:rPr>
          <w:color w:val="000000"/>
          <w:shd w:val="clear" w:color="auto" w:fill="FFFFFF"/>
        </w:rPr>
        <w:t xml:space="preserve"> εβρα</w:t>
      </w:r>
      <w:proofErr w:type="spellStart"/>
      <w:r w:rsidRPr="00B616E8">
        <w:rPr>
          <w:color w:val="000000"/>
          <w:shd w:val="clear" w:color="auto" w:fill="FFFFFF"/>
        </w:rPr>
        <w:t>ιδι</w:t>
      </w:r>
      <w:proofErr w:type="spellEnd"/>
      <w:r w:rsidRPr="00B616E8">
        <w:rPr>
          <w:color w:val="000000"/>
          <w:shd w:val="clear" w:color="auto" w:fill="FFFFFF"/>
        </w:rPr>
        <w:t xml:space="preserve"> </w:t>
      </w:r>
      <w:proofErr w:type="spellStart"/>
      <w:r w:rsidRPr="00B616E8">
        <w:rPr>
          <w:color w:val="000000"/>
          <w:shd w:val="clear" w:color="auto" w:fill="FFFFFF"/>
        </w:rPr>
        <w:t>δι</w:t>
      </w:r>
      <w:proofErr w:type="spellEnd"/>
      <w:r w:rsidRPr="00B616E8">
        <w:rPr>
          <w:color w:val="000000"/>
          <w:shd w:val="clear" w:color="auto" w:fill="FFFFFF"/>
        </w:rPr>
        <w:t>α</w:t>
      </w:r>
      <w:proofErr w:type="spellStart"/>
      <w:r w:rsidRPr="00B616E8">
        <w:rPr>
          <w:color w:val="000000"/>
          <w:shd w:val="clear" w:color="auto" w:fill="FFFFFF"/>
        </w:rPr>
        <w:t>λεκτω</w:t>
      </w:r>
      <w:proofErr w:type="spellEnd"/>
      <w:r w:rsidRPr="00B616E8">
        <w:rPr>
          <w:color w:val="000000"/>
          <w:shd w:val="clear" w:color="auto" w:fill="FFFFFF"/>
        </w:rPr>
        <w:t>], </w:t>
      </w:r>
      <w:r w:rsidRPr="00B616E8">
        <w:rPr>
          <w:rStyle w:val="woj"/>
          <w:color w:val="000000"/>
          <w:shd w:val="clear" w:color="auto" w:fill="FFFFFF"/>
        </w:rPr>
        <w:t xml:space="preserve">‘Saul, Saul, why are you persecuting me?’” (Acts 26:14). Scholars </w:t>
      </w:r>
      <w:r w:rsidR="009567DA">
        <w:rPr>
          <w:rStyle w:val="woj"/>
          <w:color w:val="000000"/>
          <w:shd w:val="clear" w:color="auto" w:fill="FFFFFF"/>
        </w:rPr>
        <w:t xml:space="preserve">have examined the Greek phrase </w:t>
      </w:r>
      <w:r w:rsidR="00640F34">
        <w:rPr>
          <w:rStyle w:val="woj"/>
          <w:color w:val="000000"/>
          <w:shd w:val="clear" w:color="auto" w:fill="FFFFFF"/>
        </w:rPr>
        <w:t xml:space="preserve">just </w:t>
      </w:r>
      <w:r w:rsidR="009567DA">
        <w:rPr>
          <w:rStyle w:val="woj"/>
          <w:color w:val="000000"/>
          <w:shd w:val="clear" w:color="auto" w:fill="FFFFFF"/>
        </w:rPr>
        <w:t xml:space="preserve">listed and have thereby </w:t>
      </w:r>
      <w:r w:rsidRPr="00B616E8">
        <w:rPr>
          <w:rStyle w:val="woj"/>
          <w:color w:val="000000"/>
          <w:shd w:val="clear" w:color="auto" w:fill="FFFFFF"/>
        </w:rPr>
        <w:t>disc</w:t>
      </w:r>
      <w:r>
        <w:rPr>
          <w:rStyle w:val="woj"/>
          <w:color w:val="000000"/>
          <w:shd w:val="clear" w:color="auto" w:fill="FFFFFF"/>
        </w:rPr>
        <w:t>uss</w:t>
      </w:r>
      <w:r w:rsidR="009567DA">
        <w:rPr>
          <w:rStyle w:val="woj"/>
          <w:color w:val="000000"/>
          <w:shd w:val="clear" w:color="auto" w:fill="FFFFFF"/>
        </w:rPr>
        <w:t>ed</w:t>
      </w:r>
      <w:r>
        <w:rPr>
          <w:rStyle w:val="woj"/>
          <w:color w:val="000000"/>
          <w:shd w:val="clear" w:color="auto" w:fill="FFFFFF"/>
        </w:rPr>
        <w:t xml:space="preserve"> exactly what language </w:t>
      </w:r>
      <w:r>
        <w:t>Jesus used with Paul, with Aramaic being the typical conclusion. In any case, Paul include</w:t>
      </w:r>
      <w:r w:rsidR="00640F34">
        <w:t>d</w:t>
      </w:r>
      <w:r>
        <w:t xml:space="preserve"> </w:t>
      </w:r>
      <w:r w:rsidR="009567DA">
        <w:t>his</w:t>
      </w:r>
      <w:r>
        <w:t xml:space="preserve"> seemingly trivial</w:t>
      </w:r>
      <w:r w:rsidR="009567DA">
        <w:t>, linguistic</w:t>
      </w:r>
      <w:r>
        <w:t xml:space="preserve"> point </w:t>
      </w:r>
      <w:r w:rsidR="009567DA">
        <w:t>to</w:t>
      </w:r>
      <w:r>
        <w:t xml:space="preserve"> convey the monumental </w:t>
      </w:r>
      <w:r w:rsidR="00484FAD">
        <w:t>reality</w:t>
      </w:r>
      <w:r>
        <w:t xml:space="preserve"> that the actual, risen Jesus of Nazareth used their shared colloquial, mother-tongue language in speaking personally to the Jewish, Aramaic-fluent Paul of Tarsus. Jesus wanted Paul to understand him, and Paul evangelistically wanted Agrippa to know how personally God interacts with all people (Acts 26:28-29).</w:t>
      </w:r>
    </w:p>
    <w:p w14:paraId="4D874723" w14:textId="4A07CDED" w:rsidR="00B616E8" w:rsidRDefault="00B616E8" w:rsidP="00B616E8">
      <w:pPr>
        <w:shd w:val="clear" w:color="auto" w:fill="FFFFFF"/>
        <w:spacing w:after="160"/>
        <w:ind w:firstLine="360"/>
        <w:jc w:val="both"/>
        <w:rPr>
          <w:color w:val="000000" w:themeColor="text1"/>
          <w:shd w:val="clear" w:color="auto" w:fill="FFFFFF"/>
        </w:rPr>
      </w:pPr>
      <w:r>
        <w:t>“Words about deity,” “study of God and his works,” and equivalent descriptions</w:t>
      </w:r>
      <w:r w:rsidR="009567DA">
        <w:t>—whether in societies with a Greco-Roman heritage</w:t>
      </w:r>
      <w:r>
        <w:t xml:space="preserve"> </w:t>
      </w:r>
      <w:r w:rsidR="009567DA">
        <w:t xml:space="preserve">or </w:t>
      </w:r>
      <w:r>
        <w:t>in societies whose conceptual-linguistic categories do not resonate</w:t>
      </w:r>
      <w:r w:rsidR="009567DA">
        <w:t xml:space="preserve"> as much</w:t>
      </w:r>
      <w:r>
        <w:t xml:space="preserve"> with </w:t>
      </w:r>
      <w:r w:rsidR="009567DA">
        <w:t xml:space="preserve">intellectualized </w:t>
      </w:r>
      <w:r>
        <w:t>Greco-Roman “theology”</w:t>
      </w:r>
      <w:r w:rsidR="009567DA">
        <w:t>—</w:t>
      </w:r>
      <w:r w:rsidR="00147D88">
        <w:t>are</w:t>
      </w:r>
      <w:r>
        <w:t xml:space="preserve"> for everyone. </w:t>
      </w:r>
      <w:r w:rsidR="00F32C8B">
        <w:t>While t</w:t>
      </w:r>
      <w:r>
        <w:t>he rise</w:t>
      </w:r>
      <w:r w:rsidRPr="00B616E8">
        <w:t xml:space="preserve">n Jesus gives spiritual teaching gifts to </w:t>
      </w:r>
      <w:r w:rsidR="00640F34">
        <w:t>churches</w:t>
      </w:r>
      <w:r w:rsidRPr="00B616E8">
        <w:t>, he does so for all his people—because he “</w:t>
      </w:r>
      <w:r w:rsidRPr="00B616E8">
        <w:rPr>
          <w:color w:val="000000"/>
          <w:shd w:val="clear" w:color="auto" w:fill="FFFFFF"/>
        </w:rPr>
        <w:t>desires all people to be saved and to come to the knowledge of the truth</w:t>
      </w:r>
      <w:r>
        <w:rPr>
          <w:color w:val="000000"/>
          <w:shd w:val="clear" w:color="auto" w:fill="FFFFFF"/>
        </w:rPr>
        <w:t>”</w:t>
      </w:r>
      <w:r w:rsidRPr="00B616E8">
        <w:rPr>
          <w:color w:val="000000"/>
          <w:shd w:val="clear" w:color="auto" w:fill="FFFFFF"/>
        </w:rPr>
        <w:t xml:space="preserve"> (I Tim. 2:4).</w:t>
      </w:r>
      <w:r>
        <w:rPr>
          <w:color w:val="000000"/>
          <w:shd w:val="clear" w:color="auto" w:fill="FFFFFF"/>
        </w:rPr>
        <w:t xml:space="preserve"> God orchestrates his w</w:t>
      </w:r>
      <w:r w:rsidRPr="00B616E8">
        <w:rPr>
          <w:color w:val="000000"/>
          <w:shd w:val="clear" w:color="auto" w:fill="FFFFFF"/>
        </w:rPr>
        <w:t xml:space="preserve">orld so </w:t>
      </w:r>
      <w:r>
        <w:rPr>
          <w:color w:val="000000"/>
          <w:shd w:val="clear" w:color="auto" w:fill="FFFFFF"/>
        </w:rPr>
        <w:t xml:space="preserve">that </w:t>
      </w:r>
      <w:r w:rsidRPr="00B616E8">
        <w:rPr>
          <w:color w:val="000000"/>
          <w:shd w:val="clear" w:color="auto" w:fill="FFFFFF"/>
        </w:rPr>
        <w:t xml:space="preserve">all people “should seek </w:t>
      </w:r>
      <w:proofErr w:type="gramStart"/>
      <w:r w:rsidRPr="00B616E8">
        <w:rPr>
          <w:color w:val="000000"/>
          <w:shd w:val="clear" w:color="auto" w:fill="FFFFFF"/>
        </w:rPr>
        <w:t>God, and</w:t>
      </w:r>
      <w:proofErr w:type="gramEnd"/>
      <w:r w:rsidRPr="00B616E8">
        <w:rPr>
          <w:color w:val="000000"/>
          <w:shd w:val="clear" w:color="auto" w:fill="FFFFFF"/>
        </w:rPr>
        <w:t xml:space="preserve"> perhaps feel their way toward him and find him”</w:t>
      </w:r>
      <w:r>
        <w:rPr>
          <w:color w:val="000000"/>
          <w:shd w:val="clear" w:color="auto" w:fill="FFFFFF"/>
        </w:rPr>
        <w:t xml:space="preserve"> (Acts 17:27). God has graciously spoken in the colloquial languages of Hebrew, </w:t>
      </w:r>
      <w:r>
        <w:rPr>
          <w:color w:val="000000"/>
          <w:shd w:val="clear" w:color="auto" w:fill="FFFFFF"/>
        </w:rPr>
        <w:lastRenderedPageBreak/>
        <w:t xml:space="preserve">Aramaic, and </w:t>
      </w:r>
      <w:proofErr w:type="spellStart"/>
      <w:r>
        <w:rPr>
          <w:color w:val="000000"/>
          <w:shd w:val="clear" w:color="auto" w:fill="FFFFFF"/>
        </w:rPr>
        <w:t>Koine</w:t>
      </w:r>
      <w:proofErr w:type="spellEnd"/>
      <w:r>
        <w:rPr>
          <w:color w:val="000000"/>
          <w:shd w:val="clear" w:color="auto" w:fill="FFFFFF"/>
        </w:rPr>
        <w:t xml:space="preserve"> Greek. His Spirit has overseen the Bible’s accelerated translation</w:t>
      </w:r>
      <w:r w:rsidR="009567DA">
        <w:rPr>
          <w:color w:val="000000"/>
          <w:shd w:val="clear" w:color="auto" w:fill="FFFFFF"/>
        </w:rPr>
        <w:t>s</w:t>
      </w:r>
      <w:r>
        <w:rPr>
          <w:color w:val="000000"/>
          <w:shd w:val="clear" w:color="auto" w:fill="FFFFFF"/>
        </w:rPr>
        <w:t xml:space="preserve"> into the world’s languages,</w:t>
      </w:r>
      <w:r w:rsidR="009567DA">
        <w:rPr>
          <w:color w:val="000000"/>
          <w:shd w:val="clear" w:color="auto" w:fill="FFFFFF"/>
        </w:rPr>
        <w:t xml:space="preserve"> whether orally or inscri</w:t>
      </w:r>
      <w:r w:rsidR="00640F34">
        <w:rPr>
          <w:color w:val="000000"/>
          <w:shd w:val="clear" w:color="auto" w:fill="FFFFFF"/>
        </w:rPr>
        <w:t>bed</w:t>
      </w:r>
      <w:r w:rsidR="009567DA">
        <w:rPr>
          <w:color w:val="000000"/>
          <w:shd w:val="clear" w:color="auto" w:fill="FFFFFF"/>
        </w:rPr>
        <w:t xml:space="preserve">, </w:t>
      </w:r>
      <w:r>
        <w:rPr>
          <w:color w:val="000000"/>
          <w:shd w:val="clear" w:color="auto" w:fill="FFFFFF"/>
        </w:rPr>
        <w:t>so that all might understand and articulate who God is and what he has done</w:t>
      </w:r>
      <w:r w:rsidR="00640F34">
        <w:rPr>
          <w:color w:val="000000"/>
          <w:shd w:val="clear" w:color="auto" w:fill="FFFFFF"/>
        </w:rPr>
        <w:t xml:space="preserve">, i.e., </w:t>
      </w:r>
      <w:r>
        <w:rPr>
          <w:color w:val="000000"/>
          <w:shd w:val="clear" w:color="auto" w:fill="FFFFFF"/>
        </w:rPr>
        <w:t>might “theologize”</w:t>
      </w:r>
      <w:r w:rsidR="00640F34">
        <w:rPr>
          <w:color w:val="000000"/>
          <w:shd w:val="clear" w:color="auto" w:fill="FFFFFF"/>
        </w:rPr>
        <w:t xml:space="preserve"> as followers of Jesus Christ. All human beings “theologize” in the broadest sense, even </w:t>
      </w:r>
      <w:r w:rsidR="00F32C8B">
        <w:rPr>
          <w:color w:val="000000"/>
          <w:shd w:val="clear" w:color="auto" w:fill="FFFFFF"/>
        </w:rPr>
        <w:t>while</w:t>
      </w:r>
      <w:r w:rsidR="00640F34">
        <w:rPr>
          <w:color w:val="000000"/>
          <w:shd w:val="clear" w:color="auto" w:fill="FFFFFF"/>
        </w:rPr>
        <w:t xml:space="preserve"> articulating “Christian theology” per se</w:t>
      </w:r>
      <w:r>
        <w:rPr>
          <w:color w:val="000000"/>
          <w:shd w:val="clear" w:color="auto" w:fill="FFFFFF"/>
        </w:rPr>
        <w:t xml:space="preserve"> </w:t>
      </w:r>
      <w:r w:rsidR="00640F34">
        <w:rPr>
          <w:color w:val="000000"/>
          <w:shd w:val="clear" w:color="auto" w:fill="FFFFFF"/>
        </w:rPr>
        <w:t xml:space="preserve">is the Church’s responsibility. </w:t>
      </w:r>
      <w:r>
        <w:rPr>
          <w:color w:val="000000"/>
          <w:shd w:val="clear" w:color="auto" w:fill="FFFFFF"/>
        </w:rPr>
        <w:t xml:space="preserve">Because “theology” is for everyone, a Christian openness to listen and learn others’ thinking and languages should temper any well-intended but tight-fisted clutching and fossilizing of </w:t>
      </w:r>
      <w:r w:rsidR="00640F34">
        <w:rPr>
          <w:color w:val="000000"/>
          <w:shd w:val="clear" w:color="auto" w:fill="FFFFFF"/>
        </w:rPr>
        <w:t xml:space="preserve">any theological </w:t>
      </w:r>
      <w:r>
        <w:rPr>
          <w:color w:val="000000"/>
          <w:shd w:val="clear" w:color="auto" w:fill="FFFFFF"/>
        </w:rPr>
        <w:t>tradition.</w:t>
      </w:r>
    </w:p>
    <w:p w14:paraId="135C6BBC" w14:textId="18F3A6F0" w:rsidR="00B616E8" w:rsidRPr="009567DA" w:rsidRDefault="009567DA" w:rsidP="009567DA">
      <w:pPr>
        <w:shd w:val="clear" w:color="auto" w:fill="FFFFFF"/>
        <w:spacing w:after="160"/>
        <w:ind w:firstLine="360"/>
        <w:jc w:val="both"/>
      </w:pPr>
      <w:proofErr w:type="gramStart"/>
      <w:r>
        <w:t>So</w:t>
      </w:r>
      <w:proofErr w:type="gramEnd"/>
      <w:r>
        <w:t xml:space="preserve"> who is “theology” for? </w:t>
      </w:r>
      <w:r w:rsidR="00B616E8" w:rsidRPr="00B616E8">
        <w:rPr>
          <w:color w:val="000000" w:themeColor="text1"/>
          <w:shd w:val="clear" w:color="auto" w:fill="FFFFFF"/>
        </w:rPr>
        <w:t xml:space="preserve">“Theology” is for everyone bearing the </w:t>
      </w:r>
      <w:r w:rsidR="00B616E8" w:rsidRPr="00B616E8">
        <w:rPr>
          <w:i/>
          <w:iCs/>
          <w:color w:val="000000" w:themeColor="text1"/>
          <w:shd w:val="clear" w:color="auto" w:fill="FFFFFF"/>
        </w:rPr>
        <w:t xml:space="preserve">imago </w:t>
      </w:r>
      <w:proofErr w:type="spellStart"/>
      <w:r w:rsidR="00B616E8" w:rsidRPr="00B616E8">
        <w:rPr>
          <w:i/>
          <w:iCs/>
          <w:color w:val="000000" w:themeColor="text1"/>
          <w:shd w:val="clear" w:color="auto" w:fill="FFFFFF"/>
        </w:rPr>
        <w:t>dei</w:t>
      </w:r>
      <w:proofErr w:type="spellEnd"/>
      <w:r w:rsidR="00B616E8" w:rsidRPr="00B616E8">
        <w:rPr>
          <w:color w:val="000000" w:themeColor="text1"/>
          <w:shd w:val="clear" w:color="auto" w:fill="FFFFFF"/>
        </w:rPr>
        <w:t xml:space="preserve"> / </w:t>
      </w:r>
      <w:proofErr w:type="spellStart"/>
      <w:r w:rsidR="00B616E8" w:rsidRPr="00B616E8">
        <w:rPr>
          <w:color w:val="000000" w:themeColor="text1"/>
          <w:shd w:val="clear" w:color="auto" w:fill="FFFFFF"/>
        </w:rPr>
        <w:t>צֶלֶם</w:t>
      </w:r>
      <w:proofErr w:type="spellEnd"/>
      <w:r w:rsidR="00B616E8" w:rsidRPr="00B616E8">
        <w:rPr>
          <w:color w:val="000000" w:themeColor="text1"/>
          <w:shd w:val="clear" w:color="auto" w:fill="FFFFFF"/>
        </w:rPr>
        <w:t xml:space="preserve"> </w:t>
      </w:r>
      <w:proofErr w:type="spellStart"/>
      <w:r w:rsidR="00B616E8" w:rsidRPr="00B616E8">
        <w:rPr>
          <w:color w:val="000000" w:themeColor="text1"/>
          <w:shd w:val="clear" w:color="auto" w:fill="FFFFFF"/>
        </w:rPr>
        <w:t>אֱלֹהִים</w:t>
      </w:r>
      <w:proofErr w:type="spellEnd"/>
      <w:r w:rsidR="00B616E8" w:rsidRPr="00B616E8">
        <w:rPr>
          <w:color w:val="000000" w:themeColor="text1"/>
          <w:shd w:val="clear" w:color="auto" w:fill="FFFFFF"/>
        </w:rPr>
        <w:t xml:space="preserve"> </w:t>
      </w:r>
      <w:r w:rsidR="00B616E8" w:rsidRPr="00B616E8">
        <w:rPr>
          <w:color w:val="000000"/>
          <w:shd w:val="clear" w:color="auto" w:fill="FFFFFF"/>
        </w:rPr>
        <w:t xml:space="preserve">/ </w:t>
      </w:r>
      <w:proofErr w:type="spellStart"/>
      <w:r w:rsidR="00B616E8" w:rsidRPr="00B616E8">
        <w:rPr>
          <w:rFonts w:eastAsia="Times New Roman"/>
          <w:color w:val="1F1F1F"/>
        </w:rPr>
        <w:t>εικόν</w:t>
      </w:r>
      <w:proofErr w:type="spellEnd"/>
      <w:r w:rsidR="00B616E8" w:rsidRPr="00B616E8">
        <w:rPr>
          <w:rFonts w:eastAsia="Times New Roman"/>
          <w:color w:val="1F1F1F"/>
        </w:rPr>
        <w:t xml:space="preserve">α </w:t>
      </w:r>
      <w:proofErr w:type="spellStart"/>
      <w:r w:rsidR="00B616E8" w:rsidRPr="00B616E8">
        <w:rPr>
          <w:rFonts w:eastAsia="Times New Roman"/>
          <w:color w:val="1F1F1F"/>
        </w:rPr>
        <w:t>του</w:t>
      </w:r>
      <w:proofErr w:type="spellEnd"/>
      <w:r w:rsidR="00B616E8" w:rsidRPr="00B616E8">
        <w:rPr>
          <w:rFonts w:eastAsia="Times New Roman"/>
          <w:color w:val="1F1F1F"/>
        </w:rPr>
        <w:t xml:space="preserve"> </w:t>
      </w:r>
      <w:proofErr w:type="spellStart"/>
      <w:r w:rsidR="00B616E8" w:rsidRPr="00B616E8">
        <w:rPr>
          <w:rFonts w:eastAsia="Times New Roman"/>
          <w:color w:val="1F1F1F"/>
        </w:rPr>
        <w:t>Θεού</w:t>
      </w:r>
      <w:proofErr w:type="spellEnd"/>
      <w:r w:rsidR="00B616E8" w:rsidRPr="00B616E8">
        <w:rPr>
          <w:color w:val="000000"/>
          <w:shd w:val="clear" w:color="auto" w:fill="FFFFFF"/>
        </w:rPr>
        <w:t xml:space="preserve"> / </w:t>
      </w:r>
      <w:proofErr w:type="spellStart"/>
      <w:r w:rsidR="00B616E8" w:rsidRPr="00B616E8">
        <w:rPr>
          <w:rFonts w:eastAsia="Times New Roman"/>
          <w:color w:val="000000"/>
        </w:rPr>
        <w:t>Աստծո</w:t>
      </w:r>
      <w:proofErr w:type="spellEnd"/>
      <w:r w:rsidR="00B616E8" w:rsidRPr="00B616E8">
        <w:rPr>
          <w:rFonts w:eastAsia="Times New Roman"/>
          <w:color w:val="000000"/>
        </w:rPr>
        <w:t xml:space="preserve"> </w:t>
      </w:r>
      <w:proofErr w:type="spellStart"/>
      <w:r w:rsidR="00B616E8" w:rsidRPr="00B616E8">
        <w:rPr>
          <w:rFonts w:eastAsia="Times New Roman"/>
          <w:color w:val="000000"/>
        </w:rPr>
        <w:t>պատկեր</w:t>
      </w:r>
      <w:proofErr w:type="spellEnd"/>
      <w:r w:rsidR="00B616E8" w:rsidRPr="00B616E8">
        <w:rPr>
          <w:color w:val="000000"/>
          <w:shd w:val="clear" w:color="auto" w:fill="FFFFFF"/>
        </w:rPr>
        <w:t xml:space="preserve">  / </w:t>
      </w:r>
      <w:proofErr w:type="spellStart"/>
      <w:r w:rsidR="00B616E8" w:rsidRPr="00B616E8">
        <w:rPr>
          <w:rFonts w:ascii="Segoe UI Historic" w:hAnsi="Segoe UI Historic" w:cs="Segoe UI Historic"/>
          <w:color w:val="000000"/>
        </w:rPr>
        <w:t>ܨܠܡܐ</w:t>
      </w:r>
      <w:proofErr w:type="spellEnd"/>
      <w:r w:rsidR="00B616E8" w:rsidRPr="00B616E8">
        <w:rPr>
          <w:color w:val="000000"/>
        </w:rPr>
        <w:t xml:space="preserve"> </w:t>
      </w:r>
      <w:proofErr w:type="spellStart"/>
      <w:r w:rsidR="00B616E8" w:rsidRPr="00B616E8">
        <w:rPr>
          <w:rFonts w:ascii="Segoe UI Historic" w:hAnsi="Segoe UI Historic" w:cs="Segoe UI Historic"/>
          <w:color w:val="000000"/>
        </w:rPr>
        <w:t>ܕܐܠܗܐ</w:t>
      </w:r>
      <w:proofErr w:type="spellEnd"/>
      <w:r w:rsidR="00B616E8" w:rsidRPr="00B616E8">
        <w:rPr>
          <w:color w:val="000000"/>
          <w:shd w:val="clear" w:color="auto" w:fill="FFFFFF"/>
        </w:rPr>
        <w:t xml:space="preserve"> / </w:t>
      </w:r>
      <w:proofErr w:type="spellStart"/>
      <w:r w:rsidR="00B616E8" w:rsidRPr="00B616E8">
        <w:rPr>
          <w:rFonts w:ascii="Kohinoor Devanagari" w:hAnsi="Kohinoor Devanagari" w:cs="Kohinoor Devanagari"/>
          <w:color w:val="1F1F1F"/>
          <w:sz w:val="20"/>
          <w:szCs w:val="20"/>
        </w:rPr>
        <w:t>ईश्वर</w:t>
      </w:r>
      <w:proofErr w:type="spellEnd"/>
      <w:r w:rsidR="00B616E8" w:rsidRPr="00B616E8">
        <w:rPr>
          <w:color w:val="1F1F1F"/>
          <w:sz w:val="20"/>
          <w:szCs w:val="20"/>
        </w:rPr>
        <w:t xml:space="preserve"> </w:t>
      </w:r>
      <w:proofErr w:type="spellStart"/>
      <w:r w:rsidR="00B616E8" w:rsidRPr="00B616E8">
        <w:rPr>
          <w:rFonts w:ascii="Kohinoor Devanagari" w:hAnsi="Kohinoor Devanagari" w:cs="Kohinoor Devanagari"/>
          <w:color w:val="1F1F1F"/>
          <w:sz w:val="20"/>
          <w:szCs w:val="20"/>
        </w:rPr>
        <w:t>की</w:t>
      </w:r>
      <w:proofErr w:type="spellEnd"/>
      <w:r w:rsidR="00B616E8" w:rsidRPr="00B616E8">
        <w:rPr>
          <w:color w:val="1F1F1F"/>
          <w:sz w:val="20"/>
          <w:szCs w:val="20"/>
        </w:rPr>
        <w:t xml:space="preserve"> </w:t>
      </w:r>
      <w:proofErr w:type="spellStart"/>
      <w:r w:rsidR="00B616E8" w:rsidRPr="00B616E8">
        <w:rPr>
          <w:rFonts w:ascii="Kohinoor Devanagari" w:hAnsi="Kohinoor Devanagari" w:cs="Kohinoor Devanagari"/>
          <w:color w:val="1F1F1F"/>
          <w:sz w:val="20"/>
          <w:szCs w:val="20"/>
        </w:rPr>
        <w:t>छवि</w:t>
      </w:r>
      <w:proofErr w:type="spellEnd"/>
      <w:r w:rsidR="00B616E8" w:rsidRPr="00B616E8">
        <w:rPr>
          <w:color w:val="1F1F1F"/>
        </w:rPr>
        <w:t xml:space="preserve"> / </w:t>
      </w:r>
      <w:proofErr w:type="spellStart"/>
      <w:r w:rsidR="00B616E8" w:rsidRPr="00B616E8">
        <w:rPr>
          <w:rFonts w:eastAsia="Times New Roman"/>
          <w:color w:val="1F1F1F"/>
          <w:shd w:val="clear" w:color="auto" w:fill="F8F9FA"/>
        </w:rPr>
        <w:t>mfano</w:t>
      </w:r>
      <w:proofErr w:type="spellEnd"/>
      <w:r w:rsidR="00B616E8" w:rsidRPr="00B616E8">
        <w:rPr>
          <w:rFonts w:eastAsia="Times New Roman"/>
          <w:color w:val="1F1F1F"/>
          <w:shd w:val="clear" w:color="auto" w:fill="F8F9FA"/>
        </w:rPr>
        <w:t xml:space="preserve"> </w:t>
      </w:r>
      <w:proofErr w:type="spellStart"/>
      <w:r w:rsidR="00B616E8" w:rsidRPr="00B616E8">
        <w:rPr>
          <w:rFonts w:eastAsia="Times New Roman"/>
          <w:color w:val="1F1F1F"/>
          <w:shd w:val="clear" w:color="auto" w:fill="F8F9FA"/>
        </w:rPr>
        <w:t>wa</w:t>
      </w:r>
      <w:proofErr w:type="spellEnd"/>
      <w:r w:rsidR="00B616E8" w:rsidRPr="00B616E8">
        <w:rPr>
          <w:rFonts w:eastAsia="Times New Roman"/>
          <w:color w:val="1F1F1F"/>
          <w:shd w:val="clear" w:color="auto" w:fill="F8F9FA"/>
        </w:rPr>
        <w:t xml:space="preserve"> </w:t>
      </w:r>
      <w:proofErr w:type="spellStart"/>
      <w:r w:rsidR="00B616E8" w:rsidRPr="00B616E8">
        <w:rPr>
          <w:rFonts w:eastAsia="Times New Roman"/>
          <w:color w:val="1F1F1F"/>
          <w:shd w:val="clear" w:color="auto" w:fill="F8F9FA"/>
        </w:rPr>
        <w:t>Mungu</w:t>
      </w:r>
      <w:proofErr w:type="spellEnd"/>
      <w:r w:rsidR="00B616E8" w:rsidRPr="00B616E8">
        <w:rPr>
          <w:rFonts w:eastAsia="Times New Roman"/>
          <w:color w:val="1F1F1F"/>
          <w:shd w:val="clear" w:color="auto" w:fill="F8F9FA"/>
        </w:rPr>
        <w:t xml:space="preserve"> / </w:t>
      </w:r>
      <w:r w:rsidR="00B616E8" w:rsidRPr="00B616E8">
        <w:rPr>
          <w:rFonts w:eastAsia="Times New Roman"/>
          <w:color w:val="1F1F1F"/>
          <w:rtl/>
        </w:rPr>
        <w:t>صورة الله</w:t>
      </w:r>
      <w:r w:rsidR="00B616E8">
        <w:rPr>
          <w:rFonts w:eastAsia="Times New Roman"/>
        </w:rPr>
        <w:t xml:space="preserve"> / </w:t>
      </w:r>
      <w:r w:rsidR="00B616E8" w:rsidRPr="00B616E8">
        <w:rPr>
          <w:rFonts w:eastAsia="Malgun Gothic"/>
          <w:color w:val="1F1F1F"/>
          <w:sz w:val="22"/>
          <w:szCs w:val="22"/>
        </w:rPr>
        <w:t>神的形象</w:t>
      </w:r>
      <w:r w:rsidR="00B616E8" w:rsidRPr="00B616E8">
        <w:rPr>
          <w:rFonts w:eastAsia="Malgun Gothic"/>
          <w:color w:val="1F1F1F"/>
          <w:sz w:val="22"/>
          <w:szCs w:val="22"/>
        </w:rPr>
        <w:t xml:space="preserve"> </w:t>
      </w:r>
      <w:r w:rsidR="00B616E8" w:rsidRPr="00B616E8">
        <w:rPr>
          <w:rFonts w:eastAsia="Malgun Gothic"/>
          <w:color w:val="1F1F1F"/>
        </w:rPr>
        <w:t xml:space="preserve">/ </w:t>
      </w:r>
      <w:proofErr w:type="spellStart"/>
      <w:r w:rsidR="00B616E8" w:rsidRPr="00B616E8">
        <w:rPr>
          <w:color w:val="1F1F1F"/>
        </w:rPr>
        <w:t>hình</w:t>
      </w:r>
      <w:proofErr w:type="spellEnd"/>
      <w:r w:rsidR="00B616E8" w:rsidRPr="00B616E8">
        <w:rPr>
          <w:color w:val="1F1F1F"/>
        </w:rPr>
        <w:t xml:space="preserve"> </w:t>
      </w:r>
      <w:proofErr w:type="spellStart"/>
      <w:r w:rsidR="00B616E8" w:rsidRPr="00B616E8">
        <w:rPr>
          <w:color w:val="1F1F1F"/>
        </w:rPr>
        <w:t>ảnh</w:t>
      </w:r>
      <w:proofErr w:type="spellEnd"/>
      <w:r w:rsidR="00B616E8" w:rsidRPr="00B616E8">
        <w:rPr>
          <w:color w:val="1F1F1F"/>
        </w:rPr>
        <w:t xml:space="preserve"> </w:t>
      </w:r>
      <w:proofErr w:type="spellStart"/>
      <w:r w:rsidR="00B616E8" w:rsidRPr="00B616E8">
        <w:rPr>
          <w:color w:val="1F1F1F"/>
        </w:rPr>
        <w:t>của</w:t>
      </w:r>
      <w:proofErr w:type="spellEnd"/>
      <w:r w:rsidR="00B616E8" w:rsidRPr="00B616E8">
        <w:rPr>
          <w:color w:val="1F1F1F"/>
        </w:rPr>
        <w:t xml:space="preserve"> Thiên Chúa.</w:t>
      </w:r>
      <w:r w:rsidR="00B616E8">
        <w:rPr>
          <w:color w:val="1F1F1F"/>
        </w:rPr>
        <w:t xml:space="preserve"> Me</w:t>
      </w:r>
      <w:r>
        <w:rPr>
          <w:color w:val="1F1F1F"/>
        </w:rPr>
        <w:t xml:space="preserve"> and</w:t>
      </w:r>
      <w:r w:rsidR="00B616E8">
        <w:rPr>
          <w:color w:val="1F1F1F"/>
        </w:rPr>
        <w:t xml:space="preserve"> them think so. What about you?</w:t>
      </w:r>
    </w:p>
    <w:p w14:paraId="2030BEFF" w14:textId="380ADA10" w:rsidR="00A749D6" w:rsidRPr="00B616E8" w:rsidRDefault="00A749D6" w:rsidP="00A749D6">
      <w:pPr>
        <w:shd w:val="clear" w:color="auto" w:fill="FFFFFF"/>
        <w:spacing w:after="160"/>
        <w:jc w:val="both"/>
        <w:rPr>
          <w:b/>
          <w:bCs/>
        </w:rPr>
      </w:pPr>
      <w:r w:rsidRPr="00B616E8">
        <w:rPr>
          <w:b/>
          <w:bCs/>
        </w:rPr>
        <w:t>References</w:t>
      </w:r>
    </w:p>
    <w:p w14:paraId="61329A1B" w14:textId="4F4D2742" w:rsidR="009567DA" w:rsidRDefault="00A749D6" w:rsidP="009567DA">
      <w:pPr>
        <w:shd w:val="clear" w:color="auto" w:fill="FFFFFF"/>
        <w:spacing w:after="160"/>
        <w:ind w:left="360" w:hanging="360"/>
        <w:jc w:val="both"/>
      </w:pPr>
      <w:r>
        <w:t>B</w:t>
      </w:r>
      <w:r w:rsidR="009567DA">
        <w:t>ediako, K. (2000). Jesus in Africa: The Christian gospel in African history and experience. Editions Clé and Regnum Africa.</w:t>
      </w:r>
    </w:p>
    <w:p w14:paraId="52218387" w14:textId="6D4EEE59" w:rsidR="009567DA" w:rsidRPr="009567DA" w:rsidRDefault="009567DA" w:rsidP="009567DA">
      <w:pPr>
        <w:shd w:val="clear" w:color="auto" w:fill="FFFFFF"/>
        <w:spacing w:after="160"/>
        <w:ind w:left="360" w:hanging="360"/>
        <w:jc w:val="both"/>
      </w:pPr>
      <w:r>
        <w:t>B</w:t>
      </w:r>
      <w:r w:rsidR="00A749D6">
        <w:t xml:space="preserve">osch, D. J. (1991). </w:t>
      </w:r>
      <w:r w:rsidR="00A749D6" w:rsidRPr="00A749D6">
        <w:rPr>
          <w:i/>
          <w:iCs/>
        </w:rPr>
        <w:t>Transforming mission: Paradigm shifts in theology of mission</w:t>
      </w:r>
      <w:r w:rsidR="00A749D6">
        <w:t>. Orbis Books.</w:t>
      </w:r>
    </w:p>
    <w:sectPr w:rsidR="009567DA" w:rsidRPr="009567DA">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25CF6" w14:textId="77777777" w:rsidR="008322C7" w:rsidRDefault="008322C7">
      <w:r>
        <w:separator/>
      </w:r>
    </w:p>
  </w:endnote>
  <w:endnote w:type="continuationSeparator" w:id="0">
    <w:p w14:paraId="4C1FF342" w14:textId="77777777" w:rsidR="008322C7" w:rsidRDefault="00832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A0D438A-FADD-7C42-B4BC-A0771C8E9D1D}"/>
    <w:embedBold r:id="rId2" w:fontKey="{7046FAC5-C43F-8B4F-AE00-D42317FAFDFD}"/>
    <w:embedItalic r:id="rId3" w:fontKey="{10568AC3-4C69-4B41-AFCA-F25FC3361F61}"/>
  </w:font>
  <w:font w:name="MS Mincho">
    <w:altName w:val="ＭＳ 明朝"/>
    <w:panose1 w:val="02020609040205080304"/>
    <w:charset w:val="80"/>
    <w:family w:val="modern"/>
    <w:pitch w:val="fixed"/>
    <w:sig w:usb0="E00002FF" w:usb1="6AC7FDFB" w:usb2="08000012" w:usb3="00000000" w:csb0="0002009F" w:csb1="00000000"/>
    <w:embedBold r:id="rId4" w:subsetted="1" w:fontKey="{AC55D040-688E-424E-9B5B-07D2283F31F1}"/>
  </w:font>
  <w:font w:name="Georgia">
    <w:panose1 w:val="02040502050405020303"/>
    <w:charset w:val="00"/>
    <w:family w:val="roman"/>
    <w:pitch w:val="variable"/>
    <w:sig w:usb0="00000287" w:usb1="00000000" w:usb2="00000000" w:usb3="00000000" w:csb0="0000009F" w:csb1="00000000"/>
    <w:embedRegular r:id="rId5" w:fontKey="{6B579253-177F-8840-84EB-02EE5F3993A3}"/>
    <w:embedItalic r:id="rId6" w:fontKey="{3F8CDEBC-0431-FB45-8772-A27E3F5CD760}"/>
  </w:font>
  <w:font w:name="Courier New">
    <w:panose1 w:val="02070309020205020404"/>
    <w:charset w:val="00"/>
    <w:family w:val="modern"/>
    <w:pitch w:val="fixed"/>
    <w:sig w:usb0="E0002EFF" w:usb1="C0007843" w:usb2="00000009" w:usb3="00000000" w:csb0="000001FF" w:csb1="00000000"/>
    <w:embedRegular r:id="rId7" w:fontKey="{84D8900A-86ED-754E-AE89-7FFBFF577D55}"/>
  </w:font>
  <w:font w:name="Batang">
    <w:altName w:val="바탕"/>
    <w:panose1 w:val="02030600000101010101"/>
    <w:charset w:val="81"/>
    <w:family w:val="roman"/>
    <w:pitch w:val="variable"/>
    <w:sig w:usb0="B00002AF" w:usb1="69D77CFB" w:usb2="00000030" w:usb3="00000000" w:csb0="0008009F" w:csb1="00000000"/>
  </w:font>
  <w:font w:name="Sylfaen">
    <w:panose1 w:val="010A0502050306030303"/>
    <w:charset w:val="00"/>
    <w:family w:val="roman"/>
    <w:pitch w:val="variable"/>
    <w:sig w:usb0="04000687" w:usb1="00000000" w:usb2="00000000" w:usb3="00000000" w:csb0="0000009F" w:csb1="00000000"/>
    <w:embedBold r:id="rId8" w:fontKey="{5FB3D136-0C19-B245-A92E-2DEFE26C3642}"/>
  </w:font>
  <w:font w:name="Segoe UI Historic">
    <w:panose1 w:val="020B0502040204020203"/>
    <w:charset w:val="00"/>
    <w:family w:val="swiss"/>
    <w:pitch w:val="variable"/>
    <w:sig w:usb0="800001EF" w:usb1="02000002" w:usb2="0060C080" w:usb3="00000000" w:csb0="00000001" w:csb1="00000000"/>
    <w:embedRegular r:id="rId9" w:fontKey="{58D52078-1583-C048-8C1B-E4A2BFAC43A4}"/>
    <w:embedBold r:id="rId10" w:fontKey="{B323C231-F695-4A4F-9094-41D720170829}"/>
  </w:font>
  <w:font w:name="Kohinoor Devanagari">
    <w:panose1 w:val="02000000000000000000"/>
    <w:charset w:val="4D"/>
    <w:family w:val="auto"/>
    <w:pitch w:val="variable"/>
    <w:sig w:usb0="00008007" w:usb1="00000000" w:usb2="00000000" w:usb3="00000000" w:csb0="00000093" w:csb1="00000000"/>
    <w:embedRegular r:id="rId11" w:fontKey="{EED7C7C8-7F7A-FE46-B93A-7B4B1DD64ABF}"/>
    <w:embedBold r:id="rId12" w:fontKey="{C7F44B8E-937C-ED43-877F-E1CCA4FA64DF}"/>
  </w:font>
  <w:font w:name="Malgun Gothic">
    <w:altName w:val="맑은 고딕"/>
    <w:panose1 w:val="020B0503020000020004"/>
    <w:charset w:val="81"/>
    <w:family w:val="swiss"/>
    <w:pitch w:val="variable"/>
    <w:sig w:usb0="9000002F" w:usb1="29D77CFB" w:usb2="00000012" w:usb3="00000000" w:csb0="00080001" w:csb1="00000000"/>
    <w:embedRegular r:id="rId13" w:subsetted="1" w:fontKey="{C7CB4C4E-66A5-3841-9168-049092919EB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4" w:fontKey="{4DFA1A7D-9685-D04B-900D-365D1285D452}"/>
  </w:font>
  <w:font w:name="Cambria">
    <w:panose1 w:val="02040503050406030204"/>
    <w:charset w:val="00"/>
    <w:family w:val="roman"/>
    <w:pitch w:val="variable"/>
    <w:sig w:usb0="E00002FF" w:usb1="400004FF" w:usb2="00000000" w:usb3="00000000" w:csb0="0000019F" w:csb1="00000000"/>
    <w:embedRegular r:id="rId15" w:fontKey="{037B0B07-85AA-8E45-87FB-FF89AC16AE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3" w14:textId="397E3D9F"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B966A9">
      <w:rPr>
        <w:sz w:val="20"/>
        <w:szCs w:val="20"/>
      </w:rPr>
      <w:t>1</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anuar</w:t>
    </w:r>
    <w:r w:rsidR="00BB1863">
      <w:rPr>
        <w:sz w:val="20"/>
        <w:szCs w:val="20"/>
      </w:rPr>
      <w:t>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4" w14:textId="0027CFD1" w:rsidR="003320BB" w:rsidRDefault="00000000">
    <w:pPr>
      <w:tabs>
        <w:tab w:val="center" w:pos="4680"/>
        <w:tab w:val="right" w:pos="9360"/>
      </w:tabs>
      <w:spacing w:after="160" w:line="259" w:lineRule="auto"/>
      <w:jc w:val="center"/>
      <w:rPr>
        <w:sz w:val="28"/>
        <w:szCs w:val="28"/>
        <w:highlight w:val="yellow"/>
      </w:rPr>
    </w:pPr>
    <w:r>
      <w:rPr>
        <w:i/>
        <w:sz w:val="20"/>
        <w:szCs w:val="20"/>
      </w:rPr>
      <w:t>Global Missiology</w:t>
    </w:r>
    <w:r>
      <w:rPr>
        <w:sz w:val="20"/>
        <w:szCs w:val="20"/>
      </w:rPr>
      <w:t xml:space="preserve"> - ISSN 2831-4751 - Vol 2</w:t>
    </w:r>
    <w:r w:rsidR="00B966A9">
      <w:rPr>
        <w:sz w:val="20"/>
        <w:szCs w:val="20"/>
      </w:rPr>
      <w:t>3</w:t>
    </w:r>
    <w:r>
      <w:rPr>
        <w:sz w:val="20"/>
        <w:szCs w:val="20"/>
      </w:rPr>
      <w:t xml:space="preserve">, No </w:t>
    </w:r>
    <w:r w:rsidR="00A27E33">
      <w:rPr>
        <w:sz w:val="20"/>
        <w:szCs w:val="20"/>
      </w:rPr>
      <w:t>3</w:t>
    </w:r>
    <w:r>
      <w:rPr>
        <w:sz w:val="20"/>
        <w:szCs w:val="20"/>
      </w:rPr>
      <w:t xml:space="preserve"> (202</w:t>
    </w:r>
    <w:r w:rsidR="00B966A9">
      <w:rPr>
        <w:sz w:val="20"/>
        <w:szCs w:val="20"/>
      </w:rPr>
      <w:t>6</w:t>
    </w:r>
    <w:r>
      <w:rPr>
        <w:sz w:val="20"/>
        <w:szCs w:val="20"/>
      </w:rPr>
      <w:t xml:space="preserve">) </w:t>
    </w:r>
    <w:r w:rsidR="00BB1863">
      <w:rPr>
        <w:sz w:val="20"/>
        <w:szCs w:val="20"/>
      </w:rPr>
      <w:t>J</w:t>
    </w:r>
    <w:r w:rsidR="00B966A9">
      <w:rPr>
        <w:sz w:val="20"/>
        <w:szCs w:val="20"/>
      </w:rPr>
      <w:t>u</w:t>
    </w:r>
    <w:r w:rsidR="00A27E33">
      <w:rPr>
        <w:sz w:val="20"/>
        <w:szCs w:val="20"/>
      </w:rPr>
      <w:t>l</w:t>
    </w:r>
    <w:r w:rsidR="00BB1863">
      <w:rPr>
        <w:sz w:val="20"/>
        <w:szCs w:val="20"/>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21092" w14:textId="77777777" w:rsidR="008322C7" w:rsidRDefault="008322C7">
      <w:r>
        <w:separator/>
      </w:r>
    </w:p>
  </w:footnote>
  <w:footnote w:type="continuationSeparator" w:id="0">
    <w:p w14:paraId="50F48215" w14:textId="77777777" w:rsidR="008322C7" w:rsidRDefault="008322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0" w14:textId="417F77BA" w:rsidR="003320BB" w:rsidRDefault="00000000">
    <w:pPr>
      <w:jc w:val="right"/>
      <w:rPr>
        <w:sz w:val="20"/>
        <w:szCs w:val="20"/>
      </w:rPr>
    </w:pPr>
    <w:r>
      <w:rPr>
        <w:sz w:val="20"/>
        <w:szCs w:val="20"/>
      </w:rPr>
      <w:fldChar w:fldCharType="begin"/>
    </w:r>
    <w:r>
      <w:rPr>
        <w:sz w:val="20"/>
        <w:szCs w:val="20"/>
      </w:rPr>
      <w:instrText>PAGE</w:instrText>
    </w:r>
    <w:r>
      <w:rPr>
        <w:sz w:val="20"/>
        <w:szCs w:val="20"/>
      </w:rPr>
      <w:fldChar w:fldCharType="separate"/>
    </w:r>
    <w:r w:rsidR="000A4161">
      <w:rPr>
        <w:noProof/>
        <w:sz w:val="20"/>
        <w:szCs w:val="20"/>
      </w:rPr>
      <w:t>2</w:t>
    </w:r>
    <w:r>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77777777" w:rsidR="003320BB" w:rsidRDefault="003320BB">
    <w:pPr>
      <w:pBdr>
        <w:top w:val="nil"/>
        <w:left w:val="nil"/>
        <w:bottom w:val="nil"/>
        <w:right w:val="nil"/>
        <w:between w:val="nil"/>
      </w:pBdr>
      <w:tabs>
        <w:tab w:val="center" w:pos="4680"/>
        <w:tab w:val="right" w:pos="9360"/>
      </w:tabs>
      <w:rPr>
        <w:color w:val="000000"/>
        <w:sz w:val="28"/>
        <w:szCs w:val="28"/>
      </w:rPr>
    </w:pPr>
  </w:p>
  <w:p w14:paraId="00000022" w14:textId="77777777" w:rsidR="003320BB" w:rsidRDefault="003320BB">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0BB"/>
    <w:rsid w:val="00011EBE"/>
    <w:rsid w:val="00017035"/>
    <w:rsid w:val="00082B7B"/>
    <w:rsid w:val="000A4161"/>
    <w:rsid w:val="000B7422"/>
    <w:rsid w:val="000D3199"/>
    <w:rsid w:val="00147D88"/>
    <w:rsid w:val="00156AA7"/>
    <w:rsid w:val="00196CC7"/>
    <w:rsid w:val="001B3F72"/>
    <w:rsid w:val="001F485D"/>
    <w:rsid w:val="0020027D"/>
    <w:rsid w:val="00203797"/>
    <w:rsid w:val="00252528"/>
    <w:rsid w:val="00293A8C"/>
    <w:rsid w:val="002E0420"/>
    <w:rsid w:val="003320BB"/>
    <w:rsid w:val="00333685"/>
    <w:rsid w:val="00334632"/>
    <w:rsid w:val="00372D69"/>
    <w:rsid w:val="003A5F32"/>
    <w:rsid w:val="00407DD5"/>
    <w:rsid w:val="0044154A"/>
    <w:rsid w:val="00484FAD"/>
    <w:rsid w:val="004957A6"/>
    <w:rsid w:val="00532EF1"/>
    <w:rsid w:val="005620BA"/>
    <w:rsid w:val="00591268"/>
    <w:rsid w:val="00596324"/>
    <w:rsid w:val="00640F34"/>
    <w:rsid w:val="00720832"/>
    <w:rsid w:val="007A68F2"/>
    <w:rsid w:val="007E5BCE"/>
    <w:rsid w:val="007F7B4C"/>
    <w:rsid w:val="00816C14"/>
    <w:rsid w:val="008322C7"/>
    <w:rsid w:val="008A1769"/>
    <w:rsid w:val="008D0F19"/>
    <w:rsid w:val="008D2617"/>
    <w:rsid w:val="008E528F"/>
    <w:rsid w:val="009567DA"/>
    <w:rsid w:val="00A27E33"/>
    <w:rsid w:val="00A749D6"/>
    <w:rsid w:val="00AC02C4"/>
    <w:rsid w:val="00AD58B4"/>
    <w:rsid w:val="00B616E8"/>
    <w:rsid w:val="00B966A9"/>
    <w:rsid w:val="00BB1863"/>
    <w:rsid w:val="00C2697C"/>
    <w:rsid w:val="00CC1A69"/>
    <w:rsid w:val="00D02BD4"/>
    <w:rsid w:val="00D315F0"/>
    <w:rsid w:val="00D5234C"/>
    <w:rsid w:val="00D657C5"/>
    <w:rsid w:val="00D9355B"/>
    <w:rsid w:val="00DF798B"/>
    <w:rsid w:val="00E3123F"/>
    <w:rsid w:val="00E44882"/>
    <w:rsid w:val="00F32C8B"/>
    <w:rsid w:val="00F33020"/>
    <w:rsid w:val="00F62C04"/>
    <w:rsid w:val="00F934A4"/>
    <w:rsid w:val="00FD26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53F5C"/>
  <w15:docId w15:val="{159C626F-364B-F443-AC57-E5F7829B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A093E"/>
    <w:pPr>
      <w:tabs>
        <w:tab w:val="center" w:pos="4680"/>
        <w:tab w:val="right" w:pos="9360"/>
      </w:tabs>
    </w:pPr>
  </w:style>
  <w:style w:type="character" w:customStyle="1" w:styleId="HeaderChar">
    <w:name w:val="Header Char"/>
    <w:basedOn w:val="DefaultParagraphFont"/>
    <w:link w:val="Header"/>
    <w:uiPriority w:val="99"/>
    <w:rsid w:val="000A093E"/>
  </w:style>
  <w:style w:type="paragraph" w:styleId="Footer">
    <w:name w:val="footer"/>
    <w:basedOn w:val="Normal"/>
    <w:link w:val="FooterChar"/>
    <w:uiPriority w:val="99"/>
    <w:unhideWhenUsed/>
    <w:rsid w:val="000A093E"/>
    <w:pPr>
      <w:tabs>
        <w:tab w:val="center" w:pos="4680"/>
        <w:tab w:val="right" w:pos="9360"/>
      </w:tabs>
    </w:pPr>
  </w:style>
  <w:style w:type="character" w:customStyle="1" w:styleId="FooterChar">
    <w:name w:val="Footer Char"/>
    <w:basedOn w:val="DefaultParagraphFont"/>
    <w:link w:val="Footer"/>
    <w:uiPriority w:val="99"/>
    <w:rsid w:val="000A093E"/>
  </w:style>
  <w:style w:type="character" w:styleId="Hyperlink">
    <w:name w:val="Hyperlink"/>
    <w:basedOn w:val="DefaultParagraphFont"/>
    <w:uiPriority w:val="99"/>
    <w:unhideWhenUsed/>
    <w:rsid w:val="00546FB8"/>
    <w:rPr>
      <w:color w:val="0000FF" w:themeColor="hyperlink"/>
      <w:u w:val="single"/>
    </w:rPr>
  </w:style>
  <w:style w:type="character" w:styleId="UnresolvedMention">
    <w:name w:val="Unresolved Mention"/>
    <w:basedOn w:val="DefaultParagraphFont"/>
    <w:uiPriority w:val="99"/>
    <w:semiHidden/>
    <w:unhideWhenUsed/>
    <w:rsid w:val="00546FB8"/>
    <w:rPr>
      <w:color w:val="605E5C"/>
      <w:shd w:val="clear" w:color="auto" w:fill="E1DFDD"/>
    </w:rPr>
  </w:style>
  <w:style w:type="character" w:customStyle="1" w:styleId="a-size-large">
    <w:name w:val="a-size-large"/>
    <w:basedOn w:val="DefaultParagraphFont"/>
    <w:rsid w:val="00546FB8"/>
  </w:style>
  <w:style w:type="character" w:customStyle="1" w:styleId="small-caps">
    <w:name w:val="small-caps"/>
    <w:basedOn w:val="DefaultParagraphFont"/>
    <w:rsid w:val="00BE52FB"/>
  </w:style>
  <w:style w:type="character" w:customStyle="1" w:styleId="text">
    <w:name w:val="text"/>
    <w:basedOn w:val="DefaultParagraphFont"/>
    <w:rsid w:val="00D657C5"/>
  </w:style>
  <w:style w:type="paragraph" w:customStyle="1" w:styleId="first-line-none">
    <w:name w:val="first-line-none"/>
    <w:basedOn w:val="Normal"/>
    <w:rsid w:val="00D315F0"/>
    <w:pPr>
      <w:spacing w:before="100" w:beforeAutospacing="1" w:after="100" w:afterAutospacing="1"/>
    </w:pPr>
  </w:style>
  <w:style w:type="paragraph" w:styleId="NormalWeb">
    <w:name w:val="Normal (Web)"/>
    <w:basedOn w:val="Normal"/>
    <w:uiPriority w:val="99"/>
    <w:unhideWhenUsed/>
    <w:rsid w:val="00D315F0"/>
    <w:pPr>
      <w:spacing w:before="100" w:beforeAutospacing="1" w:after="100" w:afterAutospacing="1"/>
    </w:pPr>
  </w:style>
  <w:style w:type="paragraph" w:styleId="HTMLPreformatted">
    <w:name w:val="HTML Preformatted"/>
    <w:basedOn w:val="Normal"/>
    <w:link w:val="HTMLPreformattedChar"/>
    <w:uiPriority w:val="99"/>
    <w:semiHidden/>
    <w:unhideWhenUsed/>
    <w:rsid w:val="00196C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96CC7"/>
    <w:rPr>
      <w:rFonts w:ascii="Courier New" w:hAnsi="Courier New" w:cs="Courier New"/>
      <w:sz w:val="20"/>
      <w:szCs w:val="20"/>
    </w:rPr>
  </w:style>
  <w:style w:type="character" w:customStyle="1" w:styleId="y2iqfc">
    <w:name w:val="y2iqfc"/>
    <w:basedOn w:val="DefaultParagraphFont"/>
    <w:rsid w:val="00196CC7"/>
  </w:style>
  <w:style w:type="character" w:styleId="Strong">
    <w:name w:val="Strong"/>
    <w:basedOn w:val="DefaultParagraphFont"/>
    <w:uiPriority w:val="22"/>
    <w:qFormat/>
    <w:rsid w:val="00196CC7"/>
    <w:rPr>
      <w:b/>
      <w:bCs/>
    </w:rPr>
  </w:style>
  <w:style w:type="character" w:customStyle="1" w:styleId="woj">
    <w:name w:val="woj"/>
    <w:basedOn w:val="DefaultParagraphFont"/>
    <w:rsid w:val="00B61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0334">
      <w:bodyDiv w:val="1"/>
      <w:marLeft w:val="0"/>
      <w:marRight w:val="0"/>
      <w:marTop w:val="0"/>
      <w:marBottom w:val="0"/>
      <w:divBdr>
        <w:top w:val="none" w:sz="0" w:space="0" w:color="auto"/>
        <w:left w:val="none" w:sz="0" w:space="0" w:color="auto"/>
        <w:bottom w:val="none" w:sz="0" w:space="0" w:color="auto"/>
        <w:right w:val="none" w:sz="0" w:space="0" w:color="auto"/>
      </w:divBdr>
      <w:divsChild>
        <w:div w:id="1764179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lobalmissiology.or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15QSQB5sdsogj9Z9bYG99UY8QA==">CgMxLjAaFAoBMBIPCg0IB0IJEgdHdW5nc3VoOAByITFRT1dsXy1ZUDNiZmhpcThMazJzY1dHak9Pb3gxTVY5MQ==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94EE0F2-165A-C84D-9D9A-063F9A9F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1894</Words>
  <Characters>10797</Characters>
  <Application>Microsoft Office Word</Application>
  <DocSecurity>0</DocSecurity>
  <Lines>89</Lines>
  <Paragraphs>25</Paragraphs>
  <ScaleCrop>false</ScaleCrop>
  <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3</cp:revision>
  <dcterms:created xsi:type="dcterms:W3CDTF">2026-07-25T08:46:00Z</dcterms:created>
  <dcterms:modified xsi:type="dcterms:W3CDTF">2026-07-25T08:47:00Z</dcterms:modified>
</cp:coreProperties>
</file>