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CBFBF" w14:textId="77777777" w:rsidR="008418EF" w:rsidRDefault="00A47923" w:rsidP="00A47923">
      <w:pPr>
        <w:pStyle w:val="Title"/>
        <w:rPr>
          <w:b/>
          <w:bCs/>
        </w:rPr>
      </w:pPr>
      <w:r w:rsidRPr="00AF450C">
        <w:rPr>
          <w:b/>
          <w:bCs/>
        </w:rPr>
        <w:t>The De-Jesus-</w:t>
      </w:r>
      <w:proofErr w:type="spellStart"/>
      <w:r w:rsidRPr="00AF450C">
        <w:rPr>
          <w:b/>
          <w:bCs/>
        </w:rPr>
        <w:t>ing</w:t>
      </w:r>
      <w:proofErr w:type="spellEnd"/>
      <w:r w:rsidRPr="00AF450C">
        <w:rPr>
          <w:b/>
          <w:bCs/>
        </w:rPr>
        <w:t xml:space="preserve"> of Mission:</w:t>
      </w:r>
    </w:p>
    <w:p w14:paraId="15C87CE4" w14:textId="0F396D8F" w:rsidR="00CA2BE1" w:rsidRPr="00AF450C" w:rsidRDefault="00A47923" w:rsidP="00E761B2">
      <w:pPr>
        <w:pStyle w:val="Title"/>
        <w:rPr>
          <w:b/>
          <w:bCs/>
        </w:rPr>
      </w:pPr>
      <w:r w:rsidRPr="00AF450C">
        <w:rPr>
          <w:b/>
          <w:bCs/>
        </w:rPr>
        <w:t>Andrew Walls and the Church</w:t>
      </w:r>
      <w:r w:rsidR="00FE24E1" w:rsidRPr="00AF450C">
        <w:rPr>
          <w:b/>
          <w:bCs/>
        </w:rPr>
        <w:t>’</w:t>
      </w:r>
      <w:r w:rsidRPr="00AF450C">
        <w:rPr>
          <w:b/>
          <w:bCs/>
        </w:rPr>
        <w:t>s Continuing Conversion</w:t>
      </w:r>
    </w:p>
    <w:p w14:paraId="16BAB47E" w14:textId="7C582CD8" w:rsidR="00CA2BE1" w:rsidRPr="008418EF" w:rsidRDefault="00AF450C" w:rsidP="00E761B2">
      <w:pPr>
        <w:jc w:val="center"/>
        <w:rPr>
          <w:bCs/>
          <w:color w:val="000000" w:themeColor="text1"/>
        </w:rPr>
      </w:pPr>
      <w:r w:rsidRPr="00AF450C">
        <w:rPr>
          <w:bCs/>
        </w:rPr>
        <w:t>Jose Philip</w:t>
      </w:r>
    </w:p>
    <w:p w14:paraId="7D6FC3B1" w14:textId="5D19DCA0" w:rsidR="008418EF" w:rsidRPr="008418EF" w:rsidRDefault="008418EF" w:rsidP="00E761B2">
      <w:pPr>
        <w:jc w:val="center"/>
        <w:rPr>
          <w:bCs/>
          <w:color w:val="000000" w:themeColor="text1"/>
        </w:rPr>
      </w:pPr>
      <w:r w:rsidRPr="008418EF">
        <w:rPr>
          <w:bCs/>
          <w:color w:val="000000" w:themeColor="text1"/>
        </w:rPr>
        <w:t xml:space="preserve">Published in </w:t>
      </w:r>
      <w:r w:rsidRPr="00566A43">
        <w:rPr>
          <w:bCs/>
          <w:i/>
          <w:iCs/>
          <w:color w:val="000000" w:themeColor="text1"/>
        </w:rPr>
        <w:t>Global Missiology</w:t>
      </w:r>
      <w:r w:rsidRPr="008418EF">
        <w:rPr>
          <w:bCs/>
          <w:color w:val="000000" w:themeColor="text1"/>
        </w:rPr>
        <w:t xml:space="preserve">, </w:t>
      </w:r>
      <w:hyperlink r:id="rId8" w:history="1">
        <w:r w:rsidRPr="008418EF">
          <w:rPr>
            <w:rStyle w:val="Hyperlink"/>
            <w:bCs/>
            <w:color w:val="000000" w:themeColor="text1"/>
          </w:rPr>
          <w:t>www.globalmissiology.org</w:t>
        </w:r>
      </w:hyperlink>
      <w:r w:rsidRPr="008418EF">
        <w:rPr>
          <w:bCs/>
          <w:color w:val="000000" w:themeColor="text1"/>
        </w:rPr>
        <w:t>, October 2026</w:t>
      </w:r>
    </w:p>
    <w:p w14:paraId="206566B8" w14:textId="1209CD1F" w:rsidR="00CA2BE1" w:rsidRPr="00AF450C" w:rsidRDefault="00A47923" w:rsidP="00AF450C">
      <w:pPr>
        <w:pStyle w:val="Heading1"/>
        <w:rPr>
          <w:bCs/>
        </w:rPr>
      </w:pPr>
      <w:r w:rsidRPr="00AF450C">
        <w:rPr>
          <w:bCs/>
        </w:rPr>
        <w:t>Abstract</w:t>
      </w:r>
    </w:p>
    <w:p w14:paraId="6D225F8E" w14:textId="27EB3806" w:rsidR="00CA2BE1" w:rsidRPr="00A47923" w:rsidRDefault="00A47923" w:rsidP="008418EF">
      <w:r>
        <w:t xml:space="preserve">This article argues that the fragmentation of contemporary Christian witness into specialized ministries—apologetics, evangelism, discipleship, and spiritual formation—reflects not merely institutional differentiation but a deeper </w:t>
      </w:r>
      <w:proofErr w:type="spellStart"/>
      <w:r w:rsidR="00C1019B">
        <w:t>c</w:t>
      </w:r>
      <w:r>
        <w:t>hristological</w:t>
      </w:r>
      <w:proofErr w:type="spellEnd"/>
      <w:r>
        <w:t xml:space="preserve"> distortion: the de-Jesus-</w:t>
      </w:r>
      <w:proofErr w:type="spellStart"/>
      <w:r>
        <w:t>ing</w:t>
      </w:r>
      <w:proofErr w:type="spellEnd"/>
      <w:r>
        <w:t xml:space="preserve"> of mission, in which Jesus Christ is gradually displaced from the living subject who acts through the </w:t>
      </w:r>
      <w:r w:rsidR="00072CFA">
        <w:t>C</w:t>
      </w:r>
      <w:r>
        <w:t xml:space="preserve">hurch’s witness to an object administered within its ministries. Drawing on Andrew Walls’s account of Christian conversion as </w:t>
      </w:r>
      <w:proofErr w:type="spellStart"/>
      <w:r w:rsidRPr="00AF450C">
        <w:rPr>
          <w:i/>
          <w:iCs/>
        </w:rPr>
        <w:t>shub</w:t>
      </w:r>
      <w:proofErr w:type="spellEnd"/>
      <w:r>
        <w:t xml:space="preserve">—the turning of what is already present toward Christ—and Peter Berger’s sociology of institutional reproduction, the article traces how operational maps formed through genuine conversion can, once stabilized within plausibility structures, acquire a logic increasingly independent of Christ’s continuing agency. Quebec’s Quiet Revolution serves as a diagnostic anchor rather than an evidential foundation for this argument. Read alongside John Flett’s dogmatic account of mission and Dallas Willard’s epistemology of Christ’s self-authenticating reality, the article proposes that the </w:t>
      </w:r>
      <w:r w:rsidR="00072CFA">
        <w:t>C</w:t>
      </w:r>
      <w:r>
        <w:t xml:space="preserve">hurch’s own renewal proceeds not by new structures but by the continual conversion Walls calls </w:t>
      </w:r>
      <w:r w:rsidR="00072CFA">
        <w:t>“</w:t>
      </w:r>
      <w:proofErr w:type="spellStart"/>
      <w:r>
        <w:rPr>
          <w:i/>
        </w:rPr>
        <w:t>shub</w:t>
      </w:r>
      <w:proofErr w:type="spellEnd"/>
      <w:r w:rsidR="00072CFA">
        <w:t>”</w:t>
      </w:r>
      <w:r>
        <w:t xml:space="preserve">: the </w:t>
      </w:r>
      <w:r w:rsidR="00072CFA">
        <w:t>C</w:t>
      </w:r>
      <w:r>
        <w:t>hurch’s ongoing turning of its inherited institutions toward the living Christ.</w:t>
      </w:r>
    </w:p>
    <w:p w14:paraId="5AB8CC10" w14:textId="77777777" w:rsidR="00CA2BE1" w:rsidRPr="00A47923" w:rsidRDefault="00A47923" w:rsidP="00F0066C">
      <w:r w:rsidRPr="00AF450C">
        <w:rPr>
          <w:b/>
          <w:bCs/>
        </w:rPr>
        <w:t>Key Words:</w:t>
      </w:r>
      <w:r>
        <w:t xml:space="preserve"> Andrew Walls, conversion, missiology, plausibility structures, Christ’s agency, </w:t>
      </w:r>
      <w:proofErr w:type="spellStart"/>
      <w:r w:rsidRPr="00AF450C">
        <w:rPr>
          <w:i/>
          <w:iCs/>
        </w:rPr>
        <w:t>shub</w:t>
      </w:r>
      <w:proofErr w:type="spellEnd"/>
      <w:r>
        <w:t>, secularization</w:t>
      </w:r>
    </w:p>
    <w:p w14:paraId="7AD90BB4" w14:textId="3895B8DA" w:rsidR="00E94F21" w:rsidRPr="00A47923" w:rsidRDefault="00E94F21" w:rsidP="00D370A6">
      <w:pPr>
        <w:pStyle w:val="Heading1"/>
        <w:spacing w:before="0"/>
        <w:jc w:val="both"/>
      </w:pPr>
      <w:r w:rsidRPr="00A47923">
        <w:rPr>
          <w:rFonts w:cs="Times New Roman"/>
        </w:rPr>
        <w:t>Introduction</w:t>
      </w:r>
    </w:p>
    <w:p w14:paraId="73A2E782" w14:textId="7E0B0A6F" w:rsidR="00E94F21" w:rsidRDefault="00E94F21" w:rsidP="008418EF">
      <w:pPr>
        <w:rPr>
          <w:rFonts w:eastAsia="Times New Roman" w:cs="Times New Roman"/>
          <w:kern w:val="0"/>
          <w14:ligatures w14:val="none"/>
        </w:rPr>
      </w:pPr>
      <w:r w:rsidRPr="00E94F21">
        <w:rPr>
          <w:rFonts w:eastAsia="Times New Roman" w:cs="Times New Roman"/>
          <w:kern w:val="0"/>
          <w14:ligatures w14:val="none"/>
        </w:rPr>
        <w:t>For Andrew Walls, the history of Christian expansion is the history of a single Hebrew verb enacted across cultures</w:t>
      </w:r>
      <w:r w:rsidR="008418EF">
        <w:rPr>
          <w:rFonts w:eastAsia="Times New Roman" w:cs="Times New Roman"/>
          <w:kern w:val="0"/>
          <w14:ligatures w14:val="none"/>
        </w:rPr>
        <w:t xml:space="preserve">: </w:t>
      </w:r>
      <w:proofErr w:type="spellStart"/>
      <w:r w:rsidR="008418EF">
        <w:t>שׁוּב</w:t>
      </w:r>
      <w:proofErr w:type="spellEnd"/>
      <w:r w:rsidRPr="00E94F21">
        <w:rPr>
          <w:rFonts w:eastAsia="Times New Roman" w:cs="Times New Roman"/>
          <w:kern w:val="0"/>
          <w14:ligatures w14:val="none"/>
        </w:rPr>
        <w:t xml:space="preserve">. </w:t>
      </w:r>
      <w:r w:rsidRPr="00591530">
        <w:rPr>
          <w:rFonts w:eastAsia="Times New Roman" w:cs="Times New Roman"/>
          <w:i/>
          <w:iCs/>
          <w:kern w:val="0"/>
          <w14:ligatures w14:val="none"/>
        </w:rPr>
        <w:t>Shub</w:t>
      </w:r>
      <w:r w:rsidRPr="00E94F21">
        <w:rPr>
          <w:rFonts w:eastAsia="Times New Roman" w:cs="Times New Roman"/>
          <w:kern w:val="0"/>
          <w14:ligatures w14:val="none"/>
        </w:rPr>
        <w:t>—the recurring biblical language of turning and returning—supplies the grammar for what Walls understands as Christian conversion: not the adoption of a new religious civilization but the turning of what is already present toward Jesus Christ (Walls</w:t>
      </w:r>
      <w:r w:rsidR="008418EF">
        <w:rPr>
          <w:rFonts w:eastAsia="Times New Roman" w:cs="Times New Roman"/>
          <w:kern w:val="0"/>
          <w14:ligatures w14:val="none"/>
        </w:rPr>
        <w:t>,</w:t>
      </w:r>
      <w:r w:rsidRPr="00E94F21">
        <w:rPr>
          <w:rFonts w:eastAsia="Times New Roman" w:cs="Times New Roman"/>
          <w:kern w:val="0"/>
          <w14:ligatures w14:val="none"/>
        </w:rPr>
        <w:t xml:space="preserve"> 2025, pp. 11, 19–20). In </w:t>
      </w:r>
      <w:r w:rsidRPr="00591530">
        <w:rPr>
          <w:rFonts w:eastAsia="Times New Roman" w:cs="Times New Roman"/>
          <w:i/>
          <w:iCs/>
          <w:kern w:val="0"/>
          <w14:ligatures w14:val="none"/>
        </w:rPr>
        <w:t>Christian Conversion and Mission</w:t>
      </w:r>
      <w:r w:rsidRPr="00E94F21">
        <w:rPr>
          <w:rFonts w:eastAsia="Times New Roman" w:cs="Times New Roman"/>
          <w:kern w:val="0"/>
          <w14:ligatures w14:val="none"/>
        </w:rPr>
        <w:t xml:space="preserve">, published posthumously, </w:t>
      </w:r>
      <w:proofErr w:type="gramStart"/>
      <w:r w:rsidRPr="00E94F21">
        <w:rPr>
          <w:rFonts w:eastAsia="Times New Roman" w:cs="Times New Roman"/>
          <w:kern w:val="0"/>
          <w14:ligatures w14:val="none"/>
        </w:rPr>
        <w:t>Walls</w:t>
      </w:r>
      <w:proofErr w:type="gramEnd"/>
      <w:r w:rsidRPr="00E94F21">
        <w:rPr>
          <w:rFonts w:eastAsia="Times New Roman" w:cs="Times New Roman"/>
          <w:kern w:val="0"/>
          <w14:ligatures w14:val="none"/>
        </w:rPr>
        <w:t xml:space="preserve"> traces this turning as it recurs serially</w:t>
      </w:r>
      <w:r w:rsidR="008418EF">
        <w:rPr>
          <w:rFonts w:eastAsia="Times New Roman" w:cs="Times New Roman"/>
          <w:kern w:val="0"/>
          <w14:ligatures w14:val="none"/>
        </w:rPr>
        <w:t>:</w:t>
      </w:r>
      <w:r w:rsidRPr="00E94F21">
        <w:rPr>
          <w:rFonts w:eastAsia="Times New Roman" w:cs="Times New Roman"/>
          <w:kern w:val="0"/>
          <w14:ligatures w14:val="none"/>
        </w:rPr>
        <w:t xml:space="preserve"> from the Jewish </w:t>
      </w:r>
      <w:r w:rsidR="001B68BF">
        <w:rPr>
          <w:rFonts w:eastAsia="Times New Roman" w:cs="Times New Roman"/>
          <w:kern w:val="0"/>
          <w14:ligatures w14:val="none"/>
        </w:rPr>
        <w:t>C</w:t>
      </w:r>
      <w:r w:rsidRPr="00E94F21">
        <w:rPr>
          <w:rFonts w:eastAsia="Times New Roman" w:cs="Times New Roman"/>
          <w:kern w:val="0"/>
          <w14:ligatures w14:val="none"/>
        </w:rPr>
        <w:t xml:space="preserve">hurch’s turning of Israel’s own hope, through the Hellenistic turning </w:t>
      </w:r>
      <w:r w:rsidR="001B68BF">
        <w:rPr>
          <w:rFonts w:eastAsia="Times New Roman" w:cs="Times New Roman"/>
          <w:kern w:val="0"/>
          <w14:ligatures w14:val="none"/>
        </w:rPr>
        <w:t>birthed in</w:t>
      </w:r>
      <w:r w:rsidRPr="00E94F21">
        <w:rPr>
          <w:rFonts w:eastAsia="Times New Roman" w:cs="Times New Roman"/>
          <w:kern w:val="0"/>
          <w14:ligatures w14:val="none"/>
        </w:rPr>
        <w:t xml:space="preserve"> Antioch, </w:t>
      </w:r>
      <w:r w:rsidR="001B68BF">
        <w:rPr>
          <w:rFonts w:eastAsia="Times New Roman" w:cs="Times New Roman"/>
          <w:kern w:val="0"/>
          <w14:ligatures w14:val="none"/>
        </w:rPr>
        <w:t xml:space="preserve">then </w:t>
      </w:r>
      <w:r w:rsidRPr="00E94F21">
        <w:rPr>
          <w:rFonts w:eastAsia="Times New Roman" w:cs="Times New Roman"/>
          <w:kern w:val="0"/>
          <w14:ligatures w14:val="none"/>
        </w:rPr>
        <w:t>t</w:t>
      </w:r>
      <w:r w:rsidR="001B68BF">
        <w:rPr>
          <w:rFonts w:eastAsia="Times New Roman" w:cs="Times New Roman"/>
          <w:kern w:val="0"/>
          <w14:ligatures w14:val="none"/>
        </w:rPr>
        <w:t>hroughout</w:t>
      </w:r>
      <w:r w:rsidRPr="00E94F21">
        <w:rPr>
          <w:rFonts w:eastAsia="Times New Roman" w:cs="Times New Roman"/>
          <w:kern w:val="0"/>
          <w14:ligatures w14:val="none"/>
        </w:rPr>
        <w:t xml:space="preserve"> the </w:t>
      </w:r>
      <w:r w:rsidR="001B68BF">
        <w:rPr>
          <w:rFonts w:eastAsia="Times New Roman" w:cs="Times New Roman"/>
          <w:kern w:val="0"/>
          <w14:ligatures w14:val="none"/>
        </w:rPr>
        <w:t>“</w:t>
      </w:r>
      <w:r w:rsidRPr="00E94F21">
        <w:rPr>
          <w:rFonts w:eastAsia="Times New Roman" w:cs="Times New Roman"/>
          <w:kern w:val="0"/>
          <w14:ligatures w14:val="none"/>
        </w:rPr>
        <w:t>barbarian</w:t>
      </w:r>
      <w:r w:rsidR="001B68BF">
        <w:rPr>
          <w:rFonts w:eastAsia="Times New Roman" w:cs="Times New Roman"/>
          <w:kern w:val="0"/>
          <w14:ligatures w14:val="none"/>
        </w:rPr>
        <w:t>” peoples of Europe,</w:t>
      </w:r>
      <w:r w:rsidRPr="00E94F21">
        <w:rPr>
          <w:rFonts w:eastAsia="Times New Roman" w:cs="Times New Roman"/>
          <w:kern w:val="0"/>
          <w14:ligatures w14:val="none"/>
        </w:rPr>
        <w:t xml:space="preserve"> and </w:t>
      </w:r>
      <w:r w:rsidR="001B68BF">
        <w:rPr>
          <w:rFonts w:eastAsia="Times New Roman" w:cs="Times New Roman"/>
          <w:kern w:val="0"/>
          <w14:ligatures w14:val="none"/>
        </w:rPr>
        <w:t xml:space="preserve">most recently </w:t>
      </w:r>
      <w:r w:rsidRPr="00E94F21">
        <w:rPr>
          <w:rFonts w:eastAsia="Times New Roman" w:cs="Times New Roman"/>
          <w:kern w:val="0"/>
          <w14:ligatures w14:val="none"/>
        </w:rPr>
        <w:t xml:space="preserve">the churches of the Global South. Christian expansion does not reproduce a single Christian culture but continually generates </w:t>
      </w:r>
      <w:r w:rsidR="00CB447F">
        <w:rPr>
          <w:rFonts w:eastAsia="Times New Roman" w:cs="Times New Roman"/>
          <w:kern w:val="0"/>
          <w14:ligatures w14:val="none"/>
        </w:rPr>
        <w:t>“</w:t>
      </w:r>
      <w:r w:rsidRPr="00E94F21">
        <w:rPr>
          <w:rFonts w:eastAsia="Times New Roman" w:cs="Times New Roman"/>
          <w:kern w:val="0"/>
          <w14:ligatures w14:val="none"/>
        </w:rPr>
        <w:t>new Christian keynotes</w:t>
      </w:r>
      <w:r w:rsidR="00CB447F">
        <w:rPr>
          <w:rFonts w:eastAsia="Times New Roman" w:cs="Times New Roman"/>
          <w:kern w:val="0"/>
          <w14:ligatures w14:val="none"/>
        </w:rPr>
        <w:t>”</w:t>
      </w:r>
      <w:r w:rsidRPr="00E94F21">
        <w:rPr>
          <w:rFonts w:eastAsia="Times New Roman" w:cs="Times New Roman"/>
          <w:kern w:val="0"/>
          <w14:ligatures w14:val="none"/>
        </w:rPr>
        <w:t xml:space="preserve"> as the gospel is translated into new cultural worlds (Walls</w:t>
      </w:r>
      <w:r w:rsidR="008418EF">
        <w:rPr>
          <w:rFonts w:eastAsia="Times New Roman" w:cs="Times New Roman"/>
          <w:kern w:val="0"/>
          <w14:ligatures w14:val="none"/>
        </w:rPr>
        <w:t>,</w:t>
      </w:r>
      <w:r w:rsidRPr="00E94F21">
        <w:rPr>
          <w:rFonts w:eastAsia="Times New Roman" w:cs="Times New Roman"/>
          <w:kern w:val="0"/>
          <w14:ligatures w14:val="none"/>
        </w:rPr>
        <w:t xml:space="preserve"> 2025, p. 130). This turning is not a generic religious phenomenon into which Christ is absorbed as one symbol among others; it presupposes, in Dallas Willard</w:t>
      </w:r>
      <w:r w:rsidR="00CB447F">
        <w:rPr>
          <w:rFonts w:eastAsia="Times New Roman" w:cs="Times New Roman"/>
          <w:kern w:val="0"/>
          <w14:ligatures w14:val="none"/>
        </w:rPr>
        <w:t>’</w:t>
      </w:r>
      <w:r w:rsidRPr="00E94F21">
        <w:rPr>
          <w:rFonts w:eastAsia="Times New Roman" w:cs="Times New Roman"/>
          <w:kern w:val="0"/>
          <w14:ligatures w14:val="none"/>
        </w:rPr>
        <w:t>s terms, both Christ</w:t>
      </w:r>
      <w:r w:rsidR="00CB447F">
        <w:rPr>
          <w:rFonts w:eastAsia="Times New Roman" w:cs="Times New Roman"/>
          <w:kern w:val="0"/>
          <w14:ligatures w14:val="none"/>
        </w:rPr>
        <w:t>’</w:t>
      </w:r>
      <w:r w:rsidRPr="00E94F21">
        <w:rPr>
          <w:rFonts w:eastAsia="Times New Roman" w:cs="Times New Roman"/>
          <w:kern w:val="0"/>
          <w14:ligatures w14:val="none"/>
        </w:rPr>
        <w:t>s universal active subjectivity and his unique deliverance authority</w:t>
      </w:r>
      <w:r w:rsidR="001B68BF">
        <w:rPr>
          <w:rFonts w:eastAsia="Times New Roman" w:cs="Times New Roman"/>
          <w:kern w:val="0"/>
          <w14:ligatures w14:val="none"/>
        </w:rPr>
        <w:t>:</w:t>
      </w:r>
      <w:r w:rsidRPr="00E94F21">
        <w:rPr>
          <w:rFonts w:eastAsia="Times New Roman" w:cs="Times New Roman"/>
          <w:kern w:val="0"/>
          <w14:ligatures w14:val="none"/>
        </w:rPr>
        <w:t xml:space="preserve"> </w:t>
      </w:r>
      <w:r w:rsidR="001B68BF">
        <w:rPr>
          <w:rFonts w:eastAsia="Times New Roman" w:cs="Times New Roman"/>
          <w:kern w:val="0"/>
          <w14:ligatures w14:val="none"/>
        </w:rPr>
        <w:t>T</w:t>
      </w:r>
      <w:r w:rsidRPr="00E94F21">
        <w:rPr>
          <w:rFonts w:eastAsia="Times New Roman" w:cs="Times New Roman"/>
          <w:kern w:val="0"/>
          <w14:ligatures w14:val="none"/>
        </w:rPr>
        <w:t xml:space="preserve">he same Christ who addresses every culture prior to the </w:t>
      </w:r>
      <w:r w:rsidR="001B68BF">
        <w:rPr>
          <w:rFonts w:eastAsia="Times New Roman" w:cs="Times New Roman"/>
          <w:kern w:val="0"/>
          <w14:ligatures w14:val="none"/>
        </w:rPr>
        <w:t>C</w:t>
      </w:r>
      <w:r w:rsidRPr="00E94F21">
        <w:rPr>
          <w:rFonts w:eastAsia="Times New Roman" w:cs="Times New Roman"/>
          <w:kern w:val="0"/>
          <w14:ligatures w14:val="none"/>
        </w:rPr>
        <w:t>hurch</w:t>
      </w:r>
      <w:r w:rsidR="007A18C6">
        <w:rPr>
          <w:rFonts w:eastAsia="Times New Roman" w:cs="Times New Roman"/>
          <w:kern w:val="0"/>
          <w14:ligatures w14:val="none"/>
        </w:rPr>
        <w:t>’</w:t>
      </w:r>
      <w:r w:rsidRPr="00E94F21">
        <w:rPr>
          <w:rFonts w:eastAsia="Times New Roman" w:cs="Times New Roman"/>
          <w:kern w:val="0"/>
          <w14:ligatures w14:val="none"/>
        </w:rPr>
        <w:t>s arrival is the particular Jesus of Nazareth in whom alone that address becomes historically decisive (Willard</w:t>
      </w:r>
      <w:r w:rsidR="008418EF">
        <w:rPr>
          <w:rFonts w:eastAsia="Times New Roman" w:cs="Times New Roman"/>
          <w:kern w:val="0"/>
          <w14:ligatures w14:val="none"/>
        </w:rPr>
        <w:t>,</w:t>
      </w:r>
      <w:r w:rsidRPr="00E94F21">
        <w:rPr>
          <w:rFonts w:eastAsia="Times New Roman" w:cs="Times New Roman"/>
          <w:kern w:val="0"/>
          <w14:ligatures w14:val="none"/>
        </w:rPr>
        <w:t xml:space="preserve"> 2009, pp. 177–88). </w:t>
      </w:r>
    </w:p>
    <w:p w14:paraId="659FD85F" w14:textId="089C51CB" w:rsidR="004C51E6" w:rsidRDefault="00E669F2" w:rsidP="001B68BF">
      <w:pPr>
        <w:ind w:firstLine="360"/>
        <w:rPr>
          <w:rFonts w:eastAsia="Times New Roman" w:cs="Times New Roman"/>
          <w:kern w:val="0"/>
          <w14:ligatures w14:val="none"/>
        </w:rPr>
      </w:pPr>
      <w:r w:rsidRPr="00E669F2">
        <w:rPr>
          <w:rFonts w:eastAsia="Times New Roman" w:cs="Times New Roman"/>
          <w:kern w:val="0"/>
          <w14:ligatures w14:val="none"/>
        </w:rPr>
        <w:t xml:space="preserve">If </w:t>
      </w:r>
      <w:proofErr w:type="spellStart"/>
      <w:r w:rsidRPr="00E669F2">
        <w:rPr>
          <w:rFonts w:eastAsia="Times New Roman" w:cs="Times New Roman"/>
          <w:i/>
          <w:iCs/>
          <w:kern w:val="0"/>
          <w14:ligatures w14:val="none"/>
        </w:rPr>
        <w:t>shub</w:t>
      </w:r>
      <w:proofErr w:type="spellEnd"/>
      <w:r w:rsidRPr="00E669F2">
        <w:rPr>
          <w:rFonts w:eastAsia="Times New Roman" w:cs="Times New Roman"/>
          <w:kern w:val="0"/>
          <w14:ligatures w14:val="none"/>
        </w:rPr>
        <w:t xml:space="preserve"> is the governing grammar of Christian conversion, it also raises a corresponding missiological question. What becomes of that turning when it is mediated through the institutional </w:t>
      </w:r>
      <w:r w:rsidR="00924832" w:rsidRPr="00924832">
        <w:rPr>
          <w:rFonts w:eastAsia="Times New Roman" w:cs="Times New Roman"/>
          <w:kern w:val="0"/>
          <w14:ligatures w14:val="none"/>
        </w:rPr>
        <w:t xml:space="preserve">life of the </w:t>
      </w:r>
      <w:r w:rsidR="00D370A6">
        <w:rPr>
          <w:rFonts w:eastAsia="Times New Roman" w:cs="Times New Roman"/>
          <w:kern w:val="0"/>
          <w14:ligatures w14:val="none"/>
        </w:rPr>
        <w:t>C</w:t>
      </w:r>
      <w:r w:rsidR="00924832" w:rsidRPr="00924832">
        <w:rPr>
          <w:rFonts w:eastAsia="Times New Roman" w:cs="Times New Roman"/>
          <w:kern w:val="0"/>
          <w14:ligatures w14:val="none"/>
        </w:rPr>
        <w:t>hurch itself?</w:t>
      </w:r>
      <w:r w:rsidRPr="00E669F2">
        <w:rPr>
          <w:rFonts w:eastAsia="Times New Roman" w:cs="Times New Roman"/>
          <w:kern w:val="0"/>
          <w14:ligatures w14:val="none"/>
        </w:rPr>
        <w:t xml:space="preserve"> </w:t>
      </w:r>
      <w:r w:rsidR="004C51E6" w:rsidRPr="004C51E6">
        <w:rPr>
          <w:rFonts w:eastAsia="Times New Roman" w:cs="Times New Roman"/>
          <w:kern w:val="0"/>
          <w14:ligatures w14:val="none"/>
        </w:rPr>
        <w:t xml:space="preserve">Contemporary Christian witness increasingly appears not as one integrated participation in Christ's mission but as a constellation of specialized ministries—apologetics, evangelism, discipleship, and spiritual formation—each possessing its own literature, institutions, practitioner communities, and internal standards of success. Such specialization is not </w:t>
      </w:r>
      <w:r w:rsidR="004C51E6" w:rsidRPr="004C51E6">
        <w:rPr>
          <w:rFonts w:eastAsia="Times New Roman" w:cs="Times New Roman"/>
          <w:kern w:val="0"/>
          <w14:ligatures w14:val="none"/>
        </w:rPr>
        <w:lastRenderedPageBreak/>
        <w:t>inherently problematic. The question is whether these ministries continue to participate in one living movement toward Christ or have gradually acquired operational logics of their own.</w:t>
      </w:r>
    </w:p>
    <w:p w14:paraId="0E43AAF7" w14:textId="05D103DE" w:rsidR="004C51E6" w:rsidRDefault="004C51E6" w:rsidP="001B68BF">
      <w:pPr>
        <w:ind w:firstLine="360"/>
        <w:rPr>
          <w:rFonts w:eastAsia="Times New Roman" w:cs="Times New Roman"/>
          <w:kern w:val="0"/>
          <w14:ligatures w14:val="none"/>
        </w:rPr>
      </w:pPr>
      <w:r w:rsidRPr="004C51E6">
        <w:rPr>
          <w:rFonts w:eastAsia="Times New Roman" w:cs="Times New Roman"/>
          <w:kern w:val="0"/>
          <w14:ligatures w14:val="none"/>
        </w:rPr>
        <w:t xml:space="preserve">The contemporary fragmentation of Christian witness reflects a deeper </w:t>
      </w:r>
      <w:proofErr w:type="spellStart"/>
      <w:r w:rsidR="00F0066C">
        <w:rPr>
          <w:rFonts w:eastAsia="Times New Roman" w:cs="Times New Roman"/>
          <w:kern w:val="0"/>
          <w14:ligatures w14:val="none"/>
        </w:rPr>
        <w:t>c</w:t>
      </w:r>
      <w:r w:rsidRPr="004C51E6">
        <w:rPr>
          <w:rFonts w:eastAsia="Times New Roman" w:cs="Times New Roman"/>
          <w:kern w:val="0"/>
          <w14:ligatures w14:val="none"/>
        </w:rPr>
        <w:t>hristological</w:t>
      </w:r>
      <w:proofErr w:type="spellEnd"/>
      <w:r w:rsidRPr="004C51E6">
        <w:rPr>
          <w:rFonts w:eastAsia="Times New Roman" w:cs="Times New Roman"/>
          <w:kern w:val="0"/>
          <w14:ligatures w14:val="none"/>
        </w:rPr>
        <w:t xml:space="preserve"> distortion that </w:t>
      </w:r>
      <w:r w:rsidR="00AF3BB7">
        <w:rPr>
          <w:rFonts w:eastAsia="Times New Roman" w:cs="Times New Roman"/>
          <w:kern w:val="0"/>
          <w14:ligatures w14:val="none"/>
        </w:rPr>
        <w:t>can</w:t>
      </w:r>
      <w:r w:rsidRPr="004C51E6">
        <w:rPr>
          <w:rFonts w:eastAsia="Times New Roman" w:cs="Times New Roman"/>
          <w:kern w:val="0"/>
          <w14:ligatures w14:val="none"/>
        </w:rPr>
        <w:t xml:space="preserve"> </w:t>
      </w:r>
      <w:r w:rsidR="00AF3BB7">
        <w:rPr>
          <w:rFonts w:eastAsia="Times New Roman" w:cs="Times New Roman"/>
          <w:kern w:val="0"/>
          <w14:ligatures w14:val="none"/>
        </w:rPr>
        <w:t xml:space="preserve">be </w:t>
      </w:r>
      <w:r w:rsidRPr="004C51E6">
        <w:rPr>
          <w:rFonts w:eastAsia="Times New Roman" w:cs="Times New Roman"/>
          <w:kern w:val="0"/>
          <w14:ligatures w14:val="none"/>
        </w:rPr>
        <w:t>describe</w:t>
      </w:r>
      <w:r w:rsidR="00AF3BB7">
        <w:rPr>
          <w:rFonts w:eastAsia="Times New Roman" w:cs="Times New Roman"/>
          <w:kern w:val="0"/>
          <w14:ligatures w14:val="none"/>
        </w:rPr>
        <w:t>d</w:t>
      </w:r>
      <w:r w:rsidRPr="004C51E6">
        <w:rPr>
          <w:rFonts w:eastAsia="Times New Roman" w:cs="Times New Roman"/>
          <w:kern w:val="0"/>
          <w14:ligatures w14:val="none"/>
        </w:rPr>
        <w:t xml:space="preserve"> as </w:t>
      </w:r>
      <w:r w:rsidRPr="00F97985">
        <w:rPr>
          <w:rFonts w:eastAsia="Times New Roman" w:cs="Times New Roman"/>
          <w:i/>
          <w:iCs/>
          <w:kern w:val="0"/>
          <w14:ligatures w14:val="none"/>
        </w:rPr>
        <w:t>the de-Jesus-</w:t>
      </w:r>
      <w:proofErr w:type="spellStart"/>
      <w:r w:rsidRPr="00F97985">
        <w:rPr>
          <w:rFonts w:eastAsia="Times New Roman" w:cs="Times New Roman"/>
          <w:i/>
          <w:iCs/>
          <w:kern w:val="0"/>
          <w14:ligatures w14:val="none"/>
        </w:rPr>
        <w:t>ing</w:t>
      </w:r>
      <w:proofErr w:type="spellEnd"/>
      <w:r w:rsidRPr="00F97985">
        <w:rPr>
          <w:rFonts w:eastAsia="Times New Roman" w:cs="Times New Roman"/>
          <w:i/>
          <w:iCs/>
          <w:kern w:val="0"/>
          <w14:ligatures w14:val="none"/>
        </w:rPr>
        <w:t xml:space="preserve"> of mission</w:t>
      </w:r>
      <w:r w:rsidRPr="004C51E6">
        <w:rPr>
          <w:rFonts w:eastAsia="Times New Roman" w:cs="Times New Roman"/>
          <w:kern w:val="0"/>
          <w14:ligatures w14:val="none"/>
        </w:rPr>
        <w:t xml:space="preserve">: the gradual operational displacement of Jesus Christ from the living subject who acts through the </w:t>
      </w:r>
      <w:r w:rsidR="00D370A6">
        <w:rPr>
          <w:rFonts w:eastAsia="Times New Roman" w:cs="Times New Roman"/>
          <w:kern w:val="0"/>
          <w14:ligatures w14:val="none"/>
        </w:rPr>
        <w:t>C</w:t>
      </w:r>
      <w:r w:rsidRPr="004C51E6">
        <w:rPr>
          <w:rFonts w:eastAsia="Times New Roman" w:cs="Times New Roman"/>
          <w:kern w:val="0"/>
          <w14:ligatures w14:val="none"/>
        </w:rPr>
        <w:t>hurch</w:t>
      </w:r>
      <w:r w:rsidR="00A674B8">
        <w:rPr>
          <w:rFonts w:eastAsia="Times New Roman" w:cs="Times New Roman"/>
          <w:kern w:val="0"/>
          <w14:ligatures w14:val="none"/>
        </w:rPr>
        <w:t>’</w:t>
      </w:r>
      <w:r w:rsidRPr="004C51E6">
        <w:rPr>
          <w:rFonts w:eastAsia="Times New Roman" w:cs="Times New Roman"/>
          <w:kern w:val="0"/>
          <w14:ligatures w14:val="none"/>
        </w:rPr>
        <w:t>s witness to the object increasingly administered within its ministries. Apologetics defends Christ, evangelism proclaims him, discipleship follows him, and spiritual formation seeks life with him</w:t>
      </w:r>
      <w:r w:rsidR="00D370A6">
        <w:rPr>
          <w:rFonts w:eastAsia="Times New Roman" w:cs="Times New Roman"/>
          <w:kern w:val="0"/>
          <w14:ligatures w14:val="none"/>
        </w:rPr>
        <w:t>—</w:t>
      </w:r>
      <w:r w:rsidRPr="004C51E6">
        <w:rPr>
          <w:rFonts w:eastAsia="Times New Roman" w:cs="Times New Roman"/>
          <w:kern w:val="0"/>
          <w14:ligatures w14:val="none"/>
        </w:rPr>
        <w:t>yet each risks functioning according to institutional logics that increasingly proceed apart from Christ</w:t>
      </w:r>
      <w:r w:rsidR="00507038">
        <w:rPr>
          <w:rFonts w:eastAsia="Times New Roman" w:cs="Times New Roman"/>
          <w:kern w:val="0"/>
          <w14:ligatures w14:val="none"/>
        </w:rPr>
        <w:t>’</w:t>
      </w:r>
      <w:r w:rsidRPr="004C51E6">
        <w:rPr>
          <w:rFonts w:eastAsia="Times New Roman" w:cs="Times New Roman"/>
          <w:kern w:val="0"/>
          <w14:ligatures w14:val="none"/>
        </w:rPr>
        <w:t xml:space="preserve">s continuing agency. The problem is therefore not primarily organizational but </w:t>
      </w:r>
      <w:r w:rsidR="00934701">
        <w:rPr>
          <w:rFonts w:eastAsia="Times New Roman" w:cs="Times New Roman"/>
          <w:kern w:val="0"/>
          <w14:ligatures w14:val="none"/>
        </w:rPr>
        <w:t xml:space="preserve">the </w:t>
      </w:r>
      <w:r w:rsidR="00934701" w:rsidRPr="00934701">
        <w:rPr>
          <w:rFonts w:eastAsia="Times New Roman" w:cs="Times New Roman"/>
          <w:kern w:val="0"/>
          <w14:ligatures w14:val="none"/>
        </w:rPr>
        <w:t xml:space="preserve">operative agency of </w:t>
      </w:r>
      <w:r w:rsidR="00934701">
        <w:rPr>
          <w:rFonts w:eastAsia="Times New Roman" w:cs="Times New Roman"/>
          <w:kern w:val="0"/>
          <w14:ligatures w14:val="none"/>
        </w:rPr>
        <w:t xml:space="preserve">Jesus </w:t>
      </w:r>
      <w:r w:rsidR="00934701" w:rsidRPr="00934701">
        <w:rPr>
          <w:rFonts w:eastAsia="Times New Roman" w:cs="Times New Roman"/>
          <w:kern w:val="0"/>
          <w14:ligatures w14:val="none"/>
        </w:rPr>
        <w:t>Christ</w:t>
      </w:r>
      <w:r w:rsidRPr="004C51E6">
        <w:rPr>
          <w:rFonts w:eastAsia="Times New Roman" w:cs="Times New Roman"/>
          <w:kern w:val="0"/>
          <w14:ligatures w14:val="none"/>
        </w:rPr>
        <w:t>.</w:t>
      </w:r>
    </w:p>
    <w:p w14:paraId="1E22D54C" w14:textId="3CEE95EA" w:rsidR="00A93117" w:rsidRDefault="00A93117" w:rsidP="001B68BF">
      <w:pPr>
        <w:ind w:firstLine="360"/>
        <w:rPr>
          <w:color w:val="000000"/>
        </w:rPr>
      </w:pPr>
      <w:r>
        <w:rPr>
          <w:rFonts w:eastAsia="Times New Roman" w:cs="Times New Roman"/>
          <w:color w:val="000000"/>
        </w:rPr>
        <w:t>Walls</w:t>
      </w:r>
      <w:r w:rsidR="00507038">
        <w:rPr>
          <w:rFonts w:eastAsia="Times New Roman" w:cs="Times New Roman"/>
          <w:color w:val="000000"/>
        </w:rPr>
        <w:t>’</w:t>
      </w:r>
      <w:r>
        <w:rPr>
          <w:rFonts w:eastAsia="Times New Roman" w:cs="Times New Roman"/>
          <w:color w:val="000000"/>
        </w:rPr>
        <w:t>s missionary history explains how such fragmentation became historically conceivable. Because the gospel is infinitely translatable, Christianity repeatedly enters cultures through their dominant patterns of thought and social organization. As Western modernity increasingly construed persons as autonomous individuals rather than members of corporate communities, conversion itself came to be translated into the language of individual decision and personal application (Walls</w:t>
      </w:r>
      <w:r w:rsidR="00D370A6">
        <w:rPr>
          <w:rFonts w:eastAsia="Times New Roman" w:cs="Times New Roman"/>
          <w:color w:val="000000"/>
        </w:rPr>
        <w:t>,</w:t>
      </w:r>
      <w:r>
        <w:rPr>
          <w:rFonts w:eastAsia="Times New Roman" w:cs="Times New Roman"/>
          <w:color w:val="000000"/>
        </w:rPr>
        <w:t xml:space="preserve"> 2025, p. 124). Th</w:t>
      </w:r>
      <w:r w:rsidR="00D370A6">
        <w:rPr>
          <w:rFonts w:eastAsia="Times New Roman" w:cs="Times New Roman"/>
          <w:color w:val="000000"/>
        </w:rPr>
        <w:t>at translation</w:t>
      </w:r>
      <w:r>
        <w:rPr>
          <w:rFonts w:eastAsia="Times New Roman" w:cs="Times New Roman"/>
          <w:color w:val="000000"/>
        </w:rPr>
        <w:t xml:space="preserve"> was a genuine enactment of </w:t>
      </w:r>
      <w:proofErr w:type="spellStart"/>
      <w:r w:rsidRPr="00FC5242">
        <w:rPr>
          <w:rFonts w:eastAsia="Times New Roman" w:cs="Times New Roman"/>
          <w:i/>
          <w:iCs/>
          <w:color w:val="000000"/>
        </w:rPr>
        <w:t>shub</w:t>
      </w:r>
      <w:proofErr w:type="spellEnd"/>
      <w:r>
        <w:rPr>
          <w:rFonts w:eastAsia="Times New Roman" w:cs="Times New Roman"/>
          <w:color w:val="000000"/>
        </w:rPr>
        <w:t>. Yet th</w:t>
      </w:r>
      <w:r w:rsidR="00D370A6">
        <w:rPr>
          <w:rFonts w:eastAsia="Times New Roman" w:cs="Times New Roman"/>
          <w:color w:val="000000"/>
        </w:rPr>
        <w:t>at individualizing of conversion</w:t>
      </w:r>
      <w:r>
        <w:rPr>
          <w:rFonts w:eastAsia="Times New Roman" w:cs="Times New Roman"/>
          <w:color w:val="000000"/>
        </w:rPr>
        <w:t xml:space="preserve"> also created conditions under which the </w:t>
      </w:r>
      <w:r w:rsidR="00D370A6">
        <w:rPr>
          <w:rFonts w:eastAsia="Times New Roman" w:cs="Times New Roman"/>
          <w:color w:val="000000"/>
        </w:rPr>
        <w:t>C</w:t>
      </w:r>
      <w:r>
        <w:rPr>
          <w:rFonts w:eastAsia="Times New Roman" w:cs="Times New Roman"/>
          <w:color w:val="000000"/>
        </w:rPr>
        <w:t>hurch</w:t>
      </w:r>
      <w:r w:rsidR="00FC5242">
        <w:rPr>
          <w:rFonts w:eastAsia="Times New Roman" w:cs="Times New Roman"/>
          <w:color w:val="000000"/>
        </w:rPr>
        <w:t>’</w:t>
      </w:r>
      <w:r>
        <w:rPr>
          <w:rFonts w:eastAsia="Times New Roman" w:cs="Times New Roman"/>
          <w:color w:val="000000"/>
        </w:rPr>
        <w:t>s one witness could gradually differentiate into specialized ministries addressing distinct dimensions of individual experience.</w:t>
      </w:r>
    </w:p>
    <w:p w14:paraId="395D7DA1" w14:textId="2F52C9CA" w:rsidR="00A93117" w:rsidRDefault="00A93117" w:rsidP="001B68BF">
      <w:pPr>
        <w:ind w:firstLine="360"/>
        <w:rPr>
          <w:color w:val="000000"/>
        </w:rPr>
      </w:pPr>
      <w:r>
        <w:rPr>
          <w:rFonts w:eastAsia="Times New Roman" w:cs="Times New Roman"/>
          <w:color w:val="000000"/>
        </w:rPr>
        <w:t xml:space="preserve">What Walls renders historically intelligible, John Flett </w:t>
      </w:r>
      <w:r w:rsidR="005B4C79">
        <w:rPr>
          <w:rFonts w:eastAsia="Times New Roman" w:cs="Times New Roman"/>
          <w:color w:val="000000"/>
        </w:rPr>
        <w:t>grounds</w:t>
      </w:r>
      <w:r>
        <w:rPr>
          <w:rFonts w:eastAsia="Times New Roman" w:cs="Times New Roman"/>
          <w:color w:val="000000"/>
        </w:rPr>
        <w:t xml:space="preserve"> theologically. Flett argues that mission becomes distorted whenever its warrant shifts from the living Christ to the cultural or institutional forms that claim to embody him (Flett</w:t>
      </w:r>
      <w:r w:rsidR="00D370A6">
        <w:rPr>
          <w:rFonts w:eastAsia="Times New Roman" w:cs="Times New Roman"/>
          <w:color w:val="000000"/>
        </w:rPr>
        <w:t>,</w:t>
      </w:r>
      <w:r>
        <w:rPr>
          <w:rFonts w:eastAsia="Times New Roman" w:cs="Times New Roman"/>
          <w:color w:val="000000"/>
        </w:rPr>
        <w:t xml:space="preserve"> 2010, p. 184). Read together, Walls and Flett suggest that the contemporary fragmentation of Christian witness is not merely a sociological development but the operational displacement of Christ</w:t>
      </w:r>
      <w:r w:rsidR="001E4EF3">
        <w:rPr>
          <w:rFonts w:eastAsia="Times New Roman" w:cs="Times New Roman"/>
          <w:color w:val="000000"/>
        </w:rPr>
        <w:t>’</w:t>
      </w:r>
      <w:r>
        <w:rPr>
          <w:rFonts w:eastAsia="Times New Roman" w:cs="Times New Roman"/>
          <w:color w:val="000000"/>
        </w:rPr>
        <w:t>s continuing agency.</w:t>
      </w:r>
    </w:p>
    <w:p w14:paraId="0F5485BE" w14:textId="46E084C3" w:rsidR="00A93117" w:rsidRPr="00A93117" w:rsidRDefault="00A93117" w:rsidP="001B68BF">
      <w:pPr>
        <w:ind w:firstLine="360"/>
        <w:rPr>
          <w:color w:val="000000"/>
        </w:rPr>
      </w:pPr>
      <w:r>
        <w:rPr>
          <w:rFonts w:eastAsia="Times New Roman" w:cs="Times New Roman"/>
          <w:color w:val="000000"/>
        </w:rPr>
        <w:t>Th</w:t>
      </w:r>
      <w:r w:rsidR="00D370A6">
        <w:rPr>
          <w:rFonts w:eastAsia="Times New Roman" w:cs="Times New Roman"/>
          <w:color w:val="000000"/>
        </w:rPr>
        <w:t>is article</w:t>
      </w:r>
      <w:r w:rsidR="00D84BC3">
        <w:rPr>
          <w:rFonts w:eastAsia="Times New Roman" w:cs="Times New Roman"/>
          <w:color w:val="000000"/>
        </w:rPr>
        <w:t xml:space="preserve"> develops its </w:t>
      </w:r>
      <w:r>
        <w:rPr>
          <w:rFonts w:eastAsia="Times New Roman" w:cs="Times New Roman"/>
          <w:color w:val="000000"/>
        </w:rPr>
        <w:t xml:space="preserve">argument in three movements. First, </w:t>
      </w:r>
      <w:r w:rsidR="00D370A6">
        <w:rPr>
          <w:rFonts w:eastAsia="Times New Roman" w:cs="Times New Roman"/>
          <w:color w:val="000000"/>
        </w:rPr>
        <w:t>the study</w:t>
      </w:r>
      <w:r>
        <w:rPr>
          <w:rFonts w:eastAsia="Times New Roman" w:cs="Times New Roman"/>
          <w:color w:val="000000"/>
        </w:rPr>
        <w:t xml:space="preserve"> diagnoses this displacement through Walls</w:t>
      </w:r>
      <w:r w:rsidR="00F355B8">
        <w:rPr>
          <w:rFonts w:eastAsia="Times New Roman" w:cs="Times New Roman"/>
          <w:color w:val="000000"/>
        </w:rPr>
        <w:t>’</w:t>
      </w:r>
      <w:r>
        <w:rPr>
          <w:rFonts w:eastAsia="Times New Roman" w:cs="Times New Roman"/>
          <w:color w:val="000000"/>
        </w:rPr>
        <w:t>s convert/proselyte distinction, Berger</w:t>
      </w:r>
      <w:r w:rsidR="00F355B8">
        <w:rPr>
          <w:rFonts w:eastAsia="Times New Roman" w:cs="Times New Roman"/>
          <w:color w:val="000000"/>
        </w:rPr>
        <w:t>’</w:t>
      </w:r>
      <w:r>
        <w:rPr>
          <w:rFonts w:eastAsia="Times New Roman" w:cs="Times New Roman"/>
          <w:color w:val="000000"/>
        </w:rPr>
        <w:t>s sociology of institutional reproduction, and the Montreal case</w:t>
      </w:r>
      <w:r w:rsidR="00D370A6">
        <w:rPr>
          <w:rFonts w:eastAsia="Times New Roman" w:cs="Times New Roman"/>
          <w:color w:val="000000"/>
        </w:rPr>
        <w:t xml:space="preserve"> (explained below)</w:t>
      </w:r>
      <w:r>
        <w:rPr>
          <w:rFonts w:eastAsia="Times New Roman" w:cs="Times New Roman"/>
          <w:color w:val="000000"/>
        </w:rPr>
        <w:t>. Second, the mechanism of operational displacement through Walls, Berger, Willard, and Flett</w:t>
      </w:r>
      <w:r w:rsidR="00D370A6">
        <w:rPr>
          <w:rFonts w:eastAsia="Times New Roman" w:cs="Times New Roman"/>
          <w:color w:val="000000"/>
        </w:rPr>
        <w:t xml:space="preserve"> will be explained</w:t>
      </w:r>
      <w:r>
        <w:rPr>
          <w:rFonts w:eastAsia="Times New Roman" w:cs="Times New Roman"/>
          <w:color w:val="000000"/>
        </w:rPr>
        <w:t xml:space="preserve">. Finally, </w:t>
      </w:r>
      <w:r w:rsidR="00D370A6">
        <w:rPr>
          <w:rFonts w:eastAsia="Times New Roman" w:cs="Times New Roman"/>
          <w:color w:val="000000"/>
        </w:rPr>
        <w:t>the article</w:t>
      </w:r>
      <w:r>
        <w:rPr>
          <w:rFonts w:eastAsia="Times New Roman" w:cs="Times New Roman"/>
          <w:color w:val="000000"/>
        </w:rPr>
        <w:t xml:space="preserve"> proposes the continuing movement of</w:t>
      </w:r>
      <w:r>
        <w:rPr>
          <w:rStyle w:val="apple-converted-space"/>
          <w:rFonts w:eastAsia="Times New Roman" w:cs="Times New Roman"/>
          <w:color w:val="000000"/>
        </w:rPr>
        <w:t> </w:t>
      </w:r>
      <w:proofErr w:type="spellStart"/>
      <w:r>
        <w:rPr>
          <w:rStyle w:val="Emphasis"/>
          <w:rFonts w:eastAsia="Times New Roman" w:cs="Times New Roman"/>
          <w:color w:val="000000"/>
        </w:rPr>
        <w:t>shub</w:t>
      </w:r>
      <w:proofErr w:type="spellEnd"/>
      <w:r w:rsidR="00742278">
        <w:rPr>
          <w:rStyle w:val="Emphasis"/>
          <w:rFonts w:eastAsia="Times New Roman" w:cs="Times New Roman"/>
          <w:color w:val="000000"/>
        </w:rPr>
        <w:t xml:space="preserve"> </w:t>
      </w:r>
      <w:r>
        <w:rPr>
          <w:rFonts w:eastAsia="Times New Roman" w:cs="Times New Roman"/>
          <w:color w:val="000000"/>
        </w:rPr>
        <w:t xml:space="preserve">as the </w:t>
      </w:r>
      <w:r w:rsidR="00D370A6">
        <w:rPr>
          <w:rFonts w:eastAsia="Times New Roman" w:cs="Times New Roman"/>
          <w:color w:val="000000"/>
        </w:rPr>
        <w:t>C</w:t>
      </w:r>
      <w:r>
        <w:rPr>
          <w:rFonts w:eastAsia="Times New Roman" w:cs="Times New Roman"/>
          <w:color w:val="000000"/>
        </w:rPr>
        <w:t>hurch</w:t>
      </w:r>
      <w:r w:rsidR="00256A1A">
        <w:rPr>
          <w:rFonts w:eastAsia="Times New Roman" w:cs="Times New Roman"/>
          <w:color w:val="000000"/>
        </w:rPr>
        <w:t>’</w:t>
      </w:r>
      <w:r>
        <w:rPr>
          <w:rFonts w:eastAsia="Times New Roman" w:cs="Times New Roman"/>
          <w:color w:val="000000"/>
        </w:rPr>
        <w:t>s own renewal through the re-</w:t>
      </w:r>
      <w:proofErr w:type="spellStart"/>
      <w:r>
        <w:rPr>
          <w:rFonts w:eastAsia="Times New Roman" w:cs="Times New Roman"/>
          <w:color w:val="000000"/>
        </w:rPr>
        <w:t>agentification</w:t>
      </w:r>
      <w:proofErr w:type="spellEnd"/>
      <w:r>
        <w:rPr>
          <w:rFonts w:eastAsia="Times New Roman" w:cs="Times New Roman"/>
          <w:color w:val="000000"/>
        </w:rPr>
        <w:t xml:space="preserve"> of Jesus Christ within its witness. This </w:t>
      </w:r>
      <w:r w:rsidR="00D370A6">
        <w:rPr>
          <w:rFonts w:eastAsia="Times New Roman" w:cs="Times New Roman"/>
          <w:color w:val="000000"/>
        </w:rPr>
        <w:t xml:space="preserve">threefold </w:t>
      </w:r>
      <w:r>
        <w:rPr>
          <w:rFonts w:eastAsia="Times New Roman" w:cs="Times New Roman"/>
          <w:color w:val="000000"/>
        </w:rPr>
        <w:t>argument pursues one vantage on that displacement, combining historical-missiological, sociological, dogmatic, and epistemic registers. Among several vantages the wider diagnosis admits, a fuller treatment would also engage its anthropological-formational and civilizational registers.</w:t>
      </w:r>
    </w:p>
    <w:p w14:paraId="43B954C1" w14:textId="2E52070E" w:rsidR="00E94F21" w:rsidRDefault="00E94F21" w:rsidP="001B68BF">
      <w:pPr>
        <w:pStyle w:val="Heading1"/>
        <w:spacing w:before="0"/>
        <w:rPr>
          <w:rFonts w:cs="Times New Roman"/>
        </w:rPr>
      </w:pPr>
      <w:r w:rsidRPr="00E94F21">
        <w:rPr>
          <w:rFonts w:cs="Times New Roman"/>
        </w:rPr>
        <w:t>Diagnosi</w:t>
      </w:r>
      <w:r w:rsidR="0041639A">
        <w:rPr>
          <w:rFonts w:cs="Times New Roman"/>
        </w:rPr>
        <w:t>ng</w:t>
      </w:r>
      <w:r w:rsidRPr="00E94F21">
        <w:rPr>
          <w:rFonts w:cs="Times New Roman"/>
        </w:rPr>
        <w:t xml:space="preserve"> </w:t>
      </w:r>
      <w:r w:rsidR="0041639A">
        <w:rPr>
          <w:rFonts w:cs="Times New Roman"/>
        </w:rPr>
        <w:t>t</w:t>
      </w:r>
      <w:r w:rsidRPr="00E94F21">
        <w:rPr>
          <w:rFonts w:cs="Times New Roman"/>
        </w:rPr>
        <w:t>he De-Jesus-</w:t>
      </w:r>
      <w:proofErr w:type="spellStart"/>
      <w:r w:rsidRPr="00E94F21">
        <w:rPr>
          <w:rFonts w:cs="Times New Roman"/>
        </w:rPr>
        <w:t>ing</w:t>
      </w:r>
      <w:proofErr w:type="spellEnd"/>
      <w:r w:rsidRPr="00E94F21">
        <w:rPr>
          <w:rFonts w:cs="Times New Roman"/>
        </w:rPr>
        <w:t xml:space="preserve"> </w:t>
      </w:r>
      <w:r w:rsidR="0041639A">
        <w:rPr>
          <w:rFonts w:cs="Times New Roman"/>
        </w:rPr>
        <w:t>of Mission</w:t>
      </w:r>
    </w:p>
    <w:p w14:paraId="554BA1FA" w14:textId="6D1B417C" w:rsidR="00D370A6" w:rsidRPr="00D370A6" w:rsidRDefault="00D370A6" w:rsidP="00F97985">
      <w:r>
        <w:t>The first movement diagnoses the de-Jesus-</w:t>
      </w:r>
      <w:proofErr w:type="spellStart"/>
      <w:r>
        <w:t>ing</w:t>
      </w:r>
      <w:proofErr w:type="spellEnd"/>
      <w:r>
        <w:t xml:space="preserve"> of mission by tracing Andrew Walls’s distinction between convert and proselyte into the Church’s own institutional life, then locating its sociological mechanism through Peter Berger and its observational anchor in Montreal.</w:t>
      </w:r>
    </w:p>
    <w:p w14:paraId="37F54AB4" w14:textId="1BE5723D" w:rsidR="00E94F21" w:rsidRPr="00A47923" w:rsidRDefault="00E94F21" w:rsidP="001B68BF">
      <w:pPr>
        <w:pStyle w:val="Heading2"/>
        <w:spacing w:before="0" w:beforeAutospacing="0" w:afterAutospacing="0"/>
      </w:pPr>
      <w:r w:rsidRPr="00A47923">
        <w:t>Walls's Diagnostic Grammar</w:t>
      </w:r>
    </w:p>
    <w:p w14:paraId="583FA605" w14:textId="4C5C52F2" w:rsidR="00E94F21" w:rsidRDefault="00E94F21" w:rsidP="001B68BF">
      <w:pPr>
        <w:rPr>
          <w:rFonts w:eastAsia="Times New Roman" w:cs="Times New Roman"/>
          <w:kern w:val="0"/>
          <w14:ligatures w14:val="none"/>
        </w:rPr>
      </w:pPr>
      <w:r w:rsidRPr="00E94F21">
        <w:rPr>
          <w:rFonts w:eastAsia="Times New Roman" w:cs="Times New Roman"/>
          <w:kern w:val="0"/>
          <w14:ligatures w14:val="none"/>
        </w:rPr>
        <w:t xml:space="preserve">The New Testament </w:t>
      </w:r>
      <w:r w:rsidR="00D370A6">
        <w:rPr>
          <w:rFonts w:eastAsia="Times New Roman" w:cs="Times New Roman"/>
          <w:kern w:val="0"/>
          <w14:ligatures w14:val="none"/>
        </w:rPr>
        <w:t>C</w:t>
      </w:r>
      <w:r w:rsidRPr="00E94F21">
        <w:rPr>
          <w:rFonts w:eastAsia="Times New Roman" w:cs="Times New Roman"/>
          <w:kern w:val="0"/>
          <w14:ligatures w14:val="none"/>
        </w:rPr>
        <w:t>hurch, Walls insists, deliberately rejected the proselyte model for the Gentile mission; conversion, not proselytism, was the pattern Jerusalem and Antioch settled on.</w:t>
      </w:r>
    </w:p>
    <w:p w14:paraId="093C3DB0" w14:textId="0FDFF99A" w:rsidR="003060CD" w:rsidRDefault="003060CD" w:rsidP="001B68BF">
      <w:pPr>
        <w:ind w:firstLine="360"/>
        <w:rPr>
          <w:rFonts w:eastAsia="Times New Roman" w:cs="Times New Roman"/>
          <w:kern w:val="0"/>
          <w14:ligatures w14:val="none"/>
        </w:rPr>
      </w:pPr>
      <w:r w:rsidRPr="003060CD">
        <w:rPr>
          <w:rFonts w:eastAsia="Times New Roman" w:cs="Times New Roman"/>
          <w:kern w:val="0"/>
          <w14:ligatures w14:val="none"/>
        </w:rPr>
        <w:t>For Walls, the distinction between convert and proselyte is fundamental to understanding the history of Christian mission. A proselyte enters another people</w:t>
      </w:r>
      <w:r w:rsidR="00D370A6">
        <w:rPr>
          <w:rFonts w:eastAsia="Times New Roman" w:cs="Times New Roman"/>
          <w:kern w:val="0"/>
          <w14:ligatures w14:val="none"/>
        </w:rPr>
        <w:t>’</w:t>
      </w:r>
      <w:r w:rsidRPr="003060CD">
        <w:rPr>
          <w:rFonts w:eastAsia="Times New Roman" w:cs="Times New Roman"/>
          <w:kern w:val="0"/>
          <w14:ligatures w14:val="none"/>
        </w:rPr>
        <w:t xml:space="preserve">s religious world, adopting its </w:t>
      </w:r>
      <w:r w:rsidRPr="003060CD">
        <w:rPr>
          <w:rFonts w:eastAsia="Times New Roman" w:cs="Times New Roman"/>
          <w:kern w:val="0"/>
          <w14:ligatures w14:val="none"/>
        </w:rPr>
        <w:lastRenderedPageBreak/>
        <w:t xml:space="preserve">inherited cultural forms as the conditions of belonging. A convert, by contrast, is not transferred into a foreign religious civilization but experiences </w:t>
      </w:r>
      <w:proofErr w:type="spellStart"/>
      <w:r w:rsidRPr="00AB7FE0">
        <w:rPr>
          <w:rFonts w:eastAsia="Times New Roman" w:cs="Times New Roman"/>
          <w:i/>
          <w:iCs/>
          <w:kern w:val="0"/>
          <w14:ligatures w14:val="none"/>
        </w:rPr>
        <w:t>shub</w:t>
      </w:r>
      <w:proofErr w:type="spellEnd"/>
      <w:r w:rsidR="00D370A6">
        <w:rPr>
          <w:rFonts w:eastAsia="Times New Roman" w:cs="Times New Roman"/>
          <w:kern w:val="0"/>
          <w14:ligatures w14:val="none"/>
        </w:rPr>
        <w:t>:</w:t>
      </w:r>
      <w:r w:rsidRPr="003060CD">
        <w:rPr>
          <w:rFonts w:eastAsia="Times New Roman" w:cs="Times New Roman"/>
          <w:kern w:val="0"/>
          <w14:ligatures w14:val="none"/>
        </w:rPr>
        <w:t xml:space="preserve"> the turning of what is already present within a culture toward Jesus Christ</w:t>
      </w:r>
      <w:r w:rsidR="00B7441E">
        <w:rPr>
          <w:rFonts w:eastAsia="Times New Roman" w:cs="Times New Roman"/>
          <w:kern w:val="0"/>
          <w14:ligatures w14:val="none"/>
        </w:rPr>
        <w:t>—a distinction that is “vital to Christian mission”</w:t>
      </w:r>
      <w:r w:rsidR="00AB7FE0">
        <w:rPr>
          <w:rFonts w:eastAsia="Times New Roman" w:cs="Times New Roman"/>
          <w:kern w:val="0"/>
          <w14:ligatures w14:val="none"/>
        </w:rPr>
        <w:t xml:space="preserve"> (Walls</w:t>
      </w:r>
      <w:r w:rsidR="00D370A6">
        <w:rPr>
          <w:rFonts w:eastAsia="Times New Roman" w:cs="Times New Roman"/>
          <w:kern w:val="0"/>
          <w14:ligatures w14:val="none"/>
        </w:rPr>
        <w:t>,</w:t>
      </w:r>
      <w:r w:rsidR="00AB7FE0">
        <w:rPr>
          <w:rFonts w:eastAsia="Times New Roman" w:cs="Times New Roman"/>
          <w:kern w:val="0"/>
          <w14:ligatures w14:val="none"/>
        </w:rPr>
        <w:t xml:space="preserve"> 2025, p. 19)</w:t>
      </w:r>
      <w:r w:rsidRPr="003060CD">
        <w:rPr>
          <w:rFonts w:eastAsia="Times New Roman" w:cs="Times New Roman"/>
          <w:kern w:val="0"/>
          <w14:ligatures w14:val="none"/>
        </w:rPr>
        <w:t>. Because the gospel is infinitely translatable, Christian expansion has always depended upon converts rather than proselytes</w:t>
      </w:r>
      <w:r w:rsidR="006C250E">
        <w:rPr>
          <w:rFonts w:eastAsia="Times New Roman" w:cs="Times New Roman"/>
          <w:kern w:val="0"/>
          <w14:ligatures w14:val="none"/>
        </w:rPr>
        <w:t xml:space="preserve">. </w:t>
      </w:r>
      <w:r w:rsidR="006C250E" w:rsidRPr="006C250E">
        <w:rPr>
          <w:rFonts w:eastAsia="Times New Roman" w:cs="Times New Roman"/>
          <w:kern w:val="0"/>
          <w14:ligatures w14:val="none"/>
        </w:rPr>
        <w:t xml:space="preserve">The </w:t>
      </w:r>
      <w:r w:rsidR="00D370A6">
        <w:rPr>
          <w:rFonts w:eastAsia="Times New Roman" w:cs="Times New Roman"/>
          <w:kern w:val="0"/>
          <w14:ligatures w14:val="none"/>
        </w:rPr>
        <w:t>C</w:t>
      </w:r>
      <w:r w:rsidR="006C250E" w:rsidRPr="006C250E">
        <w:rPr>
          <w:rFonts w:eastAsia="Times New Roman" w:cs="Times New Roman"/>
          <w:kern w:val="0"/>
          <w14:ligatures w14:val="none"/>
        </w:rPr>
        <w:t>hurch</w:t>
      </w:r>
      <w:r w:rsidR="00486C7C">
        <w:rPr>
          <w:rFonts w:eastAsia="Times New Roman" w:cs="Times New Roman"/>
          <w:kern w:val="0"/>
          <w14:ligatures w14:val="none"/>
        </w:rPr>
        <w:t>’</w:t>
      </w:r>
      <w:r w:rsidR="006C250E" w:rsidRPr="006C250E">
        <w:rPr>
          <w:rFonts w:eastAsia="Times New Roman" w:cs="Times New Roman"/>
          <w:kern w:val="0"/>
          <w14:ligatures w14:val="none"/>
        </w:rPr>
        <w:t>s missionary history is therefore not the replication of a single Christian culture but the continual translation of the gospel through the cultural resources of those who receive Christ.</w:t>
      </w:r>
    </w:p>
    <w:p w14:paraId="019B7E3F" w14:textId="5F10D002" w:rsidR="00735AA3" w:rsidRDefault="00735AA3" w:rsidP="001B68BF">
      <w:pPr>
        <w:ind w:firstLine="360"/>
        <w:rPr>
          <w:rFonts w:eastAsia="Times New Roman" w:cs="Times New Roman"/>
          <w:kern w:val="0"/>
          <w14:ligatures w14:val="none"/>
        </w:rPr>
      </w:pPr>
      <w:r w:rsidRPr="00735AA3">
        <w:rPr>
          <w:rFonts w:eastAsia="Times New Roman" w:cs="Times New Roman"/>
          <w:kern w:val="0"/>
          <w14:ligatures w14:val="none"/>
        </w:rPr>
        <w:t xml:space="preserve">Walls develops this </w:t>
      </w:r>
      <w:r w:rsidR="00D370A6" w:rsidRPr="00735AA3">
        <w:rPr>
          <w:rFonts w:eastAsia="Times New Roman" w:cs="Times New Roman"/>
          <w:kern w:val="0"/>
          <w14:ligatures w14:val="none"/>
        </w:rPr>
        <w:t xml:space="preserve">convert/proselyte </w:t>
      </w:r>
      <w:r w:rsidRPr="00735AA3">
        <w:rPr>
          <w:rFonts w:eastAsia="Times New Roman" w:cs="Times New Roman"/>
          <w:kern w:val="0"/>
          <w14:ligatures w14:val="none"/>
        </w:rPr>
        <w:t xml:space="preserve">distinction primarily to illuminate the history of </w:t>
      </w:r>
      <w:r w:rsidR="006B2ECF">
        <w:rPr>
          <w:rFonts w:eastAsia="Times New Roman" w:cs="Times New Roman"/>
          <w:kern w:val="0"/>
          <w14:ligatures w14:val="none"/>
        </w:rPr>
        <w:t>Christian</w:t>
      </w:r>
      <w:r w:rsidRPr="00735AA3">
        <w:rPr>
          <w:rFonts w:eastAsia="Times New Roman" w:cs="Times New Roman"/>
          <w:kern w:val="0"/>
          <w14:ligatures w14:val="none"/>
        </w:rPr>
        <w:t xml:space="preserve"> mission</w:t>
      </w:r>
      <w:r w:rsidR="006B2ECF">
        <w:rPr>
          <w:rFonts w:eastAsia="Times New Roman" w:cs="Times New Roman"/>
          <w:kern w:val="0"/>
          <w14:ligatures w14:val="none"/>
        </w:rPr>
        <w:t xml:space="preserve"> crossing cultures</w:t>
      </w:r>
      <w:r w:rsidRPr="00735AA3">
        <w:rPr>
          <w:rFonts w:eastAsia="Times New Roman" w:cs="Times New Roman"/>
          <w:kern w:val="0"/>
          <w14:ligatures w14:val="none"/>
        </w:rPr>
        <w:t xml:space="preserve">. </w:t>
      </w:r>
      <w:r w:rsidR="002D40C8">
        <w:rPr>
          <w:rFonts w:eastAsia="Times New Roman" w:cs="Times New Roman"/>
          <w:kern w:val="0"/>
          <w14:ligatures w14:val="none"/>
        </w:rPr>
        <w:t>I</w:t>
      </w:r>
      <w:r w:rsidRPr="00735AA3">
        <w:rPr>
          <w:rFonts w:eastAsia="Times New Roman" w:cs="Times New Roman"/>
          <w:kern w:val="0"/>
          <w14:ligatures w14:val="none"/>
        </w:rPr>
        <w:t xml:space="preserve">t also exposes an analogous danger within the </w:t>
      </w:r>
      <w:r w:rsidR="00D370A6">
        <w:rPr>
          <w:rFonts w:eastAsia="Times New Roman" w:cs="Times New Roman"/>
          <w:kern w:val="0"/>
          <w14:ligatures w14:val="none"/>
        </w:rPr>
        <w:t>C</w:t>
      </w:r>
      <w:r w:rsidRPr="00735AA3">
        <w:rPr>
          <w:rFonts w:eastAsia="Times New Roman" w:cs="Times New Roman"/>
          <w:kern w:val="0"/>
          <w14:ligatures w14:val="none"/>
        </w:rPr>
        <w:t>hurch</w:t>
      </w:r>
      <w:r w:rsidR="00963A2D">
        <w:rPr>
          <w:rFonts w:eastAsia="Times New Roman" w:cs="Times New Roman"/>
          <w:kern w:val="0"/>
          <w14:ligatures w14:val="none"/>
        </w:rPr>
        <w:t>’</w:t>
      </w:r>
      <w:r w:rsidRPr="00735AA3">
        <w:rPr>
          <w:rFonts w:eastAsia="Times New Roman" w:cs="Times New Roman"/>
          <w:kern w:val="0"/>
          <w14:ligatures w14:val="none"/>
        </w:rPr>
        <w:t>s own institutional life. The distinction is not only intercultural but intra-ecclesial. Christian witness has always expressed itself through diverse practices</w:t>
      </w:r>
      <w:r w:rsidR="00946120">
        <w:rPr>
          <w:rFonts w:eastAsia="Times New Roman" w:cs="Times New Roman"/>
          <w:kern w:val="0"/>
          <w14:ligatures w14:val="none"/>
        </w:rPr>
        <w:t>, including</w:t>
      </w:r>
      <w:r w:rsidRPr="00735AA3">
        <w:rPr>
          <w:rFonts w:eastAsia="Times New Roman" w:cs="Times New Roman"/>
          <w:kern w:val="0"/>
          <w14:ligatures w14:val="none"/>
        </w:rPr>
        <w:t xml:space="preserve"> apologetics, evangelism, discipleship, and spiritual formation, yet these practices share one living subject: Jesus Christ. Their diversity is therefore not itself problematic. Fragmentation begins only when these practices become capable of reproducing themselves</w:t>
      </w:r>
      <w:r w:rsidR="00BB1068">
        <w:rPr>
          <w:rFonts w:eastAsia="Times New Roman" w:cs="Times New Roman"/>
          <w:kern w:val="0"/>
          <w14:ligatures w14:val="none"/>
        </w:rPr>
        <w:t>, independent of each other,</w:t>
      </w:r>
      <w:r w:rsidRPr="00735AA3">
        <w:rPr>
          <w:rFonts w:eastAsia="Times New Roman" w:cs="Times New Roman"/>
          <w:kern w:val="0"/>
          <w14:ligatures w14:val="none"/>
        </w:rPr>
        <w:t xml:space="preserve"> apart from continual reference to Christ's own agency. At that point, what began as distinct modes of participating in one conversion gradually harden</w:t>
      </w:r>
      <w:r w:rsidR="00D370A6">
        <w:rPr>
          <w:rFonts w:eastAsia="Times New Roman" w:cs="Times New Roman"/>
          <w:kern w:val="0"/>
          <w14:ligatures w14:val="none"/>
        </w:rPr>
        <w:t>s</w:t>
      </w:r>
      <w:r w:rsidRPr="00735AA3">
        <w:rPr>
          <w:rFonts w:eastAsia="Times New Roman" w:cs="Times New Roman"/>
          <w:kern w:val="0"/>
          <w14:ligatures w14:val="none"/>
        </w:rPr>
        <w:t xml:space="preserve"> into self-sustaining institutional forms that cultivate allegiance to themselves as much as to Christ.</w:t>
      </w:r>
    </w:p>
    <w:p w14:paraId="31843A35" w14:textId="2308CC4C" w:rsidR="00365175" w:rsidRPr="00E94F21" w:rsidRDefault="00691CB4" w:rsidP="001B68BF">
      <w:pPr>
        <w:ind w:firstLine="360"/>
        <w:rPr>
          <w:rFonts w:eastAsia="Times New Roman" w:cs="Times New Roman"/>
          <w:kern w:val="0"/>
          <w14:ligatures w14:val="none"/>
        </w:rPr>
      </w:pPr>
      <w:r w:rsidRPr="00691CB4">
        <w:rPr>
          <w:rFonts w:eastAsia="Times New Roman" w:cs="Times New Roman"/>
          <w:kern w:val="0"/>
          <w14:ligatures w14:val="none"/>
        </w:rPr>
        <w:t>The distinction between convert and proselyte therefore names not merely two missionary outcomes but two fundamentally different ways in which Christian faith may be embodied and reproduced</w:t>
      </w:r>
      <w:r w:rsidR="00E329B5">
        <w:rPr>
          <w:rFonts w:eastAsia="Times New Roman" w:cs="Times New Roman"/>
          <w:kern w:val="0"/>
          <w14:ligatures w14:val="none"/>
        </w:rPr>
        <w:t xml:space="preserve">. </w:t>
      </w:r>
      <w:r w:rsidR="00BF1A67" w:rsidRPr="00BF1A67">
        <w:rPr>
          <w:rFonts w:eastAsia="Times New Roman" w:cs="Times New Roman"/>
          <w:kern w:val="0"/>
          <w14:ligatures w14:val="none"/>
        </w:rPr>
        <w:t xml:space="preserve">Converts are continually turned toward Christ; proselytes are progressively conformed to settled forms. </w:t>
      </w:r>
      <w:r w:rsidR="00365175" w:rsidRPr="00365175">
        <w:rPr>
          <w:rFonts w:eastAsia="Times New Roman" w:cs="Times New Roman"/>
          <w:kern w:val="0"/>
          <w14:ligatures w14:val="none"/>
        </w:rPr>
        <w:t xml:space="preserve">When applied to the </w:t>
      </w:r>
      <w:r w:rsidR="00D370A6">
        <w:rPr>
          <w:rFonts w:eastAsia="Times New Roman" w:cs="Times New Roman"/>
          <w:kern w:val="0"/>
          <w14:ligatures w14:val="none"/>
        </w:rPr>
        <w:t>C</w:t>
      </w:r>
      <w:r w:rsidR="00365175" w:rsidRPr="00365175">
        <w:rPr>
          <w:rFonts w:eastAsia="Times New Roman" w:cs="Times New Roman"/>
          <w:kern w:val="0"/>
          <w14:ligatures w14:val="none"/>
        </w:rPr>
        <w:t>hurch</w:t>
      </w:r>
      <w:r w:rsidR="00365175">
        <w:rPr>
          <w:rFonts w:eastAsia="Times New Roman" w:cs="Times New Roman"/>
          <w:kern w:val="0"/>
          <w14:ligatures w14:val="none"/>
        </w:rPr>
        <w:t>’</w:t>
      </w:r>
      <w:r w:rsidR="00365175" w:rsidRPr="00365175">
        <w:rPr>
          <w:rFonts w:eastAsia="Times New Roman" w:cs="Times New Roman"/>
          <w:kern w:val="0"/>
          <w14:ligatures w14:val="none"/>
        </w:rPr>
        <w:t>s own life, Walls</w:t>
      </w:r>
      <w:r w:rsidR="00365175">
        <w:rPr>
          <w:rFonts w:eastAsia="Times New Roman" w:cs="Times New Roman"/>
          <w:kern w:val="0"/>
          <w14:ligatures w14:val="none"/>
        </w:rPr>
        <w:t>’</w:t>
      </w:r>
      <w:r w:rsidR="00365175" w:rsidRPr="00365175">
        <w:rPr>
          <w:rFonts w:eastAsia="Times New Roman" w:cs="Times New Roman"/>
          <w:kern w:val="0"/>
          <w14:ligatures w14:val="none"/>
        </w:rPr>
        <w:t>s grammar suggests that Christian witness becomes distorted whenever its ministries cultivate allegiance to their own settled forms rather than continual turning toward the living Christ. The question is not whether such a distortion is possible, but whether it has become structurally embedded within the contemporary practice of Christian witness.</w:t>
      </w:r>
    </w:p>
    <w:p w14:paraId="14D56F65" w14:textId="239244D8" w:rsidR="00E94F21" w:rsidRPr="00E94F21" w:rsidRDefault="00E94F21" w:rsidP="001B68BF">
      <w:pPr>
        <w:pStyle w:val="Heading2"/>
        <w:spacing w:before="0" w:beforeAutospacing="0" w:afterAutospacing="0"/>
      </w:pPr>
      <w:r w:rsidRPr="00E94F21">
        <w:t>Structural Proselytism</w:t>
      </w:r>
      <w:r w:rsidR="00C73CCE">
        <w:t xml:space="preserve"> and t</w:t>
      </w:r>
      <w:r w:rsidR="00C73CCE" w:rsidRPr="00E94F21">
        <w:t>he De-Jesus-</w:t>
      </w:r>
      <w:proofErr w:type="spellStart"/>
      <w:r w:rsidR="00C73CCE" w:rsidRPr="00E94F21">
        <w:t>ing</w:t>
      </w:r>
      <w:proofErr w:type="spellEnd"/>
      <w:r w:rsidR="00C73CCE" w:rsidRPr="00E94F21">
        <w:t xml:space="preserve"> </w:t>
      </w:r>
      <w:r w:rsidR="00C73CCE">
        <w:t>of Mission</w:t>
      </w:r>
    </w:p>
    <w:p w14:paraId="510E1C60" w14:textId="55EFEF3C" w:rsidR="00CB0F61" w:rsidRDefault="00CB0F61" w:rsidP="001B68BF">
      <w:pPr>
        <w:rPr>
          <w:rFonts w:eastAsia="Times New Roman" w:cs="Times New Roman"/>
          <w:kern w:val="0"/>
          <w14:ligatures w14:val="none"/>
        </w:rPr>
      </w:pPr>
      <w:r w:rsidRPr="00CB0F61">
        <w:rPr>
          <w:rFonts w:eastAsia="Times New Roman" w:cs="Times New Roman"/>
          <w:kern w:val="0"/>
          <w14:ligatures w14:val="none"/>
        </w:rPr>
        <w:t>Walls</w:t>
      </w:r>
      <w:r>
        <w:rPr>
          <w:rFonts w:eastAsia="Times New Roman" w:cs="Times New Roman"/>
          <w:kern w:val="0"/>
          <w14:ligatures w14:val="none"/>
        </w:rPr>
        <w:t>’</w:t>
      </w:r>
      <w:r w:rsidRPr="00CB0F61">
        <w:rPr>
          <w:rFonts w:eastAsia="Times New Roman" w:cs="Times New Roman"/>
          <w:kern w:val="0"/>
          <w14:ligatures w14:val="none"/>
        </w:rPr>
        <w:t xml:space="preserve">s convert/proselyte distinction raises a further question: </w:t>
      </w:r>
      <w:r w:rsidR="006E382C">
        <w:rPr>
          <w:rFonts w:eastAsia="Times New Roman" w:cs="Times New Roman"/>
          <w:kern w:val="0"/>
          <w14:ligatures w14:val="none"/>
        </w:rPr>
        <w:t>H</w:t>
      </w:r>
      <w:r w:rsidRPr="00CB0F61">
        <w:rPr>
          <w:rFonts w:eastAsia="Times New Roman" w:cs="Times New Roman"/>
          <w:kern w:val="0"/>
          <w14:ligatures w14:val="none"/>
        </w:rPr>
        <w:t xml:space="preserve">ow does proselyte drift become embedded within the </w:t>
      </w:r>
      <w:r w:rsidR="006E382C">
        <w:rPr>
          <w:rFonts w:eastAsia="Times New Roman" w:cs="Times New Roman"/>
          <w:kern w:val="0"/>
          <w14:ligatures w14:val="none"/>
        </w:rPr>
        <w:t>C</w:t>
      </w:r>
      <w:r w:rsidRPr="00CB0F61">
        <w:rPr>
          <w:rFonts w:eastAsia="Times New Roman" w:cs="Times New Roman"/>
          <w:kern w:val="0"/>
          <w14:ligatures w14:val="none"/>
        </w:rPr>
        <w:t>hurch</w:t>
      </w:r>
      <w:r w:rsidR="00077B5E">
        <w:rPr>
          <w:rFonts w:eastAsia="Times New Roman" w:cs="Times New Roman"/>
          <w:kern w:val="0"/>
          <w14:ligatures w14:val="none"/>
        </w:rPr>
        <w:t>’</w:t>
      </w:r>
      <w:r w:rsidRPr="00CB0F61">
        <w:rPr>
          <w:rFonts w:eastAsia="Times New Roman" w:cs="Times New Roman"/>
          <w:kern w:val="0"/>
          <w14:ligatures w14:val="none"/>
        </w:rPr>
        <w:t>s own institutional life? This article describes that process as structural proselytism. Christian ministries that begin as faithful participations in Christ</w:t>
      </w:r>
      <w:r w:rsidR="00C75B11">
        <w:rPr>
          <w:rFonts w:eastAsia="Times New Roman" w:cs="Times New Roman"/>
          <w:kern w:val="0"/>
          <w14:ligatures w14:val="none"/>
        </w:rPr>
        <w:t>’</w:t>
      </w:r>
      <w:r w:rsidRPr="00CB0F61">
        <w:rPr>
          <w:rFonts w:eastAsia="Times New Roman" w:cs="Times New Roman"/>
          <w:kern w:val="0"/>
          <w14:ligatures w14:val="none"/>
        </w:rPr>
        <w:t>s mission necessarily develop institutions capable of preserving memory, training practitioners, and transmitting practices across generations. Such institutional development is neither accidental nor undesirable. The danger arises only when these structures acquire sufficient autonomy to reproduce themselves according to their own internal logic rather than through continual participation in Christ's ongoing work. Structural proselytism therefore names not the existence of institutions but the gradual substitution of institutional reproduction for continuing conversion.</w:t>
      </w:r>
    </w:p>
    <w:p w14:paraId="72358577" w14:textId="64B8BB40" w:rsidR="004A71E9" w:rsidRDefault="004A71E9" w:rsidP="001B68BF">
      <w:pPr>
        <w:ind w:firstLine="360"/>
        <w:rPr>
          <w:rFonts w:eastAsia="Times New Roman" w:cs="Times New Roman"/>
          <w:kern w:val="0"/>
          <w14:ligatures w14:val="none"/>
        </w:rPr>
      </w:pPr>
      <w:r w:rsidRPr="004A71E9">
        <w:rPr>
          <w:rFonts w:eastAsia="Times New Roman" w:cs="Times New Roman"/>
          <w:kern w:val="0"/>
          <w14:ligatures w14:val="none"/>
        </w:rPr>
        <w:t>Berger</w:t>
      </w:r>
      <w:r w:rsidR="001A52D3">
        <w:rPr>
          <w:rFonts w:eastAsia="Times New Roman" w:cs="Times New Roman"/>
          <w:kern w:val="0"/>
          <w14:ligatures w14:val="none"/>
        </w:rPr>
        <w:t>’</w:t>
      </w:r>
      <w:r w:rsidRPr="004A71E9">
        <w:rPr>
          <w:rFonts w:eastAsia="Times New Roman" w:cs="Times New Roman"/>
          <w:kern w:val="0"/>
          <w14:ligatures w14:val="none"/>
        </w:rPr>
        <w:t xml:space="preserve">s sociology explains why this transition, once established, proves remarkably durable. Institutions do more than organize activity; they create plausibility structures that render </w:t>
      </w:r>
      <w:proofErr w:type="gramStart"/>
      <w:r w:rsidRPr="004A71E9">
        <w:rPr>
          <w:rFonts w:eastAsia="Times New Roman" w:cs="Times New Roman"/>
          <w:kern w:val="0"/>
          <w14:ligatures w14:val="none"/>
        </w:rPr>
        <w:t>particular patterns</w:t>
      </w:r>
      <w:proofErr w:type="gramEnd"/>
      <w:r w:rsidRPr="004A71E9">
        <w:rPr>
          <w:rFonts w:eastAsia="Times New Roman" w:cs="Times New Roman"/>
          <w:kern w:val="0"/>
          <w14:ligatures w14:val="none"/>
        </w:rPr>
        <w:t xml:space="preserve"> of belief and practice socially natural and self-evident (Berger</w:t>
      </w:r>
      <w:r w:rsidR="006E382C">
        <w:rPr>
          <w:rFonts w:eastAsia="Times New Roman" w:cs="Times New Roman"/>
          <w:kern w:val="0"/>
          <w14:ligatures w14:val="none"/>
        </w:rPr>
        <w:t>,</w:t>
      </w:r>
      <w:r w:rsidRPr="004A71E9">
        <w:rPr>
          <w:rFonts w:eastAsia="Times New Roman" w:cs="Times New Roman"/>
          <w:kern w:val="0"/>
          <w14:ligatures w14:val="none"/>
        </w:rPr>
        <w:t xml:space="preserve"> 1967, p. 45). Ministries therefore come to inhabit institutional worlds that continually reinforce their own assumptions, priorities, and standards of legitimacy. Fragmentation persists not merely because individuals emphasize different aspects of Christian witness, but because institutional life itself reproduces those differences. Berger thus provides the sociological mechanism by which Walls</w:t>
      </w:r>
      <w:r w:rsidR="001A52D3">
        <w:rPr>
          <w:rFonts w:eastAsia="Times New Roman" w:cs="Times New Roman"/>
          <w:kern w:val="0"/>
          <w14:ligatures w14:val="none"/>
        </w:rPr>
        <w:t>’</w:t>
      </w:r>
      <w:r w:rsidRPr="004A71E9">
        <w:rPr>
          <w:rFonts w:eastAsia="Times New Roman" w:cs="Times New Roman"/>
          <w:kern w:val="0"/>
          <w14:ligatures w14:val="none"/>
        </w:rPr>
        <w:t>s convert/proselyte distinction becomes an enduring feature of ecclesial life.</w:t>
      </w:r>
    </w:p>
    <w:p w14:paraId="05E7A67B" w14:textId="4FFB0175" w:rsidR="004A71E9" w:rsidRDefault="00DD1ADE" w:rsidP="001B68BF">
      <w:pPr>
        <w:ind w:firstLine="360"/>
        <w:rPr>
          <w:rFonts w:eastAsia="Times New Roman" w:cs="Times New Roman"/>
          <w:kern w:val="0"/>
          <w14:ligatures w14:val="none"/>
        </w:rPr>
      </w:pPr>
      <w:r w:rsidRPr="00DD1ADE">
        <w:rPr>
          <w:rFonts w:eastAsia="Times New Roman" w:cs="Times New Roman"/>
          <w:kern w:val="0"/>
          <w14:ligatures w14:val="none"/>
        </w:rPr>
        <w:lastRenderedPageBreak/>
        <w:t>Structural proselytism thus provides the bridge between Walls</w:t>
      </w:r>
      <w:r w:rsidR="001A52D3">
        <w:rPr>
          <w:rFonts w:eastAsia="Times New Roman" w:cs="Times New Roman"/>
          <w:kern w:val="0"/>
          <w14:ligatures w14:val="none"/>
        </w:rPr>
        <w:t>’</w:t>
      </w:r>
      <w:r w:rsidRPr="00DD1ADE">
        <w:rPr>
          <w:rFonts w:eastAsia="Times New Roman" w:cs="Times New Roman"/>
          <w:kern w:val="0"/>
          <w14:ligatures w14:val="none"/>
        </w:rPr>
        <w:t>s missionary grammar and the contemporary fragmentation of Christian witness. The question is no longer whether institutional reproduction occurs—it inevitably does—but whether such reproduction remains continually ordered by conversion toward Christ. Montreal provides an illuminating vantage point from which to observe this relationship between institutional continuity and continuing conversion.</w:t>
      </w:r>
    </w:p>
    <w:p w14:paraId="1971029F" w14:textId="70B9AB15" w:rsidR="00E94F21" w:rsidRPr="00E94F21" w:rsidRDefault="00E94F21" w:rsidP="001B68BF">
      <w:pPr>
        <w:pStyle w:val="Heading2"/>
        <w:spacing w:before="0" w:beforeAutospacing="0" w:afterAutospacing="0"/>
      </w:pPr>
      <w:r w:rsidRPr="00E94F21">
        <w:t>Montreal</w:t>
      </w:r>
      <w:r w:rsidR="004D7ED7">
        <w:t>:</w:t>
      </w:r>
      <w:r w:rsidRPr="00E94F21">
        <w:t xml:space="preserve"> </w:t>
      </w:r>
      <w:r w:rsidR="004D7ED7">
        <w:t xml:space="preserve">A </w:t>
      </w:r>
      <w:r w:rsidRPr="00E94F21">
        <w:t>Diagnostic Anchor</w:t>
      </w:r>
    </w:p>
    <w:p w14:paraId="5C290EA6" w14:textId="02CBE4CC" w:rsidR="00B71792" w:rsidRDefault="006E382C" w:rsidP="001B68BF">
      <w:pPr>
        <w:rPr>
          <w:rFonts w:eastAsia="Times New Roman" w:cs="Times New Roman"/>
          <w:kern w:val="0"/>
          <w14:ligatures w14:val="none"/>
        </w:rPr>
      </w:pPr>
      <w:r>
        <w:rPr>
          <w:rFonts w:eastAsia="Times New Roman" w:cs="Times New Roman"/>
          <w:kern w:val="0"/>
          <w14:ligatures w14:val="none"/>
        </w:rPr>
        <w:t xml:space="preserve">The </w:t>
      </w:r>
      <w:r w:rsidR="00B71792" w:rsidRPr="00B71792">
        <w:rPr>
          <w:rFonts w:eastAsia="Times New Roman" w:cs="Times New Roman"/>
          <w:kern w:val="0"/>
          <w14:ligatures w14:val="none"/>
        </w:rPr>
        <w:t xml:space="preserve">Montreal </w:t>
      </w:r>
      <w:r>
        <w:rPr>
          <w:rFonts w:eastAsia="Times New Roman" w:cs="Times New Roman"/>
          <w:kern w:val="0"/>
          <w14:ligatures w14:val="none"/>
        </w:rPr>
        <w:t xml:space="preserve">case explained below </w:t>
      </w:r>
      <w:r w:rsidR="00B71792" w:rsidRPr="00B71792">
        <w:rPr>
          <w:rFonts w:eastAsia="Times New Roman" w:cs="Times New Roman"/>
          <w:kern w:val="0"/>
          <w14:ligatures w14:val="none"/>
        </w:rPr>
        <w:t>is employed not as the evidential foundation of the argument but as its observational vantage point. The theoretical claims advanced through Walls and Berger stand independently of the case. Montreal is selected because it concentrates within a single metropolitan context the simultaneous erosion of one historic Christian plausibility structure and the emergence of new translated expressions of Christian faith. It therefore renders unusually visible the relationship between institutional reproduction and continuing conversion that the preceding sections have described conceptually.</w:t>
      </w:r>
    </w:p>
    <w:p w14:paraId="3923204E" w14:textId="733FC9FF" w:rsidR="00A13D9B" w:rsidRDefault="00DC0CD1" w:rsidP="001B68BF">
      <w:pPr>
        <w:ind w:firstLine="360"/>
        <w:rPr>
          <w:rFonts w:eastAsia="Times New Roman" w:cs="Times New Roman"/>
          <w:kern w:val="0"/>
          <w14:ligatures w14:val="none"/>
        </w:rPr>
      </w:pPr>
      <w:r w:rsidRPr="00DC0CD1">
        <w:rPr>
          <w:rFonts w:eastAsia="Times New Roman" w:cs="Times New Roman"/>
          <w:kern w:val="0"/>
          <w14:ligatures w14:val="none"/>
        </w:rPr>
        <w:t>Before the Quiet Revolution</w:t>
      </w:r>
      <w:r w:rsidR="006E382C">
        <w:rPr>
          <w:rFonts w:eastAsia="Times New Roman" w:cs="Times New Roman"/>
          <w:kern w:val="0"/>
          <w14:ligatures w14:val="none"/>
        </w:rPr>
        <w:t xml:space="preserve"> that began in 1960</w:t>
      </w:r>
      <w:r w:rsidRPr="00DC0CD1">
        <w:rPr>
          <w:rFonts w:eastAsia="Times New Roman" w:cs="Times New Roman"/>
          <w:kern w:val="0"/>
          <w14:ligatures w14:val="none"/>
        </w:rPr>
        <w:t>, the Roman Catholic Church exercised a pervasive influence over Quebe</w:t>
      </w:r>
      <w:r w:rsidR="00D149FF">
        <w:rPr>
          <w:rFonts w:eastAsia="Times New Roman" w:cs="Times New Roman"/>
          <w:kern w:val="0"/>
          <w14:ligatures w14:val="none"/>
        </w:rPr>
        <w:t>c</w:t>
      </w:r>
      <w:r w:rsidRPr="00DC0CD1">
        <w:rPr>
          <w:rFonts w:eastAsia="Times New Roman" w:cs="Times New Roman"/>
          <w:kern w:val="0"/>
          <w14:ligatures w14:val="none"/>
        </w:rPr>
        <w:t>’s educational, welfare, and cultural institutions (Gauvreau</w:t>
      </w:r>
      <w:r w:rsidR="006E382C">
        <w:rPr>
          <w:rFonts w:eastAsia="Times New Roman" w:cs="Times New Roman"/>
          <w:kern w:val="0"/>
          <w14:ligatures w14:val="none"/>
        </w:rPr>
        <w:t>,</w:t>
      </w:r>
      <w:r w:rsidRPr="00DC0CD1">
        <w:rPr>
          <w:rFonts w:eastAsia="Times New Roman" w:cs="Times New Roman"/>
          <w:kern w:val="0"/>
          <w14:ligatures w14:val="none"/>
        </w:rPr>
        <w:t xml:space="preserve"> 2000, pp. 803–805). </w:t>
      </w:r>
      <w:r w:rsidR="009C0008" w:rsidRPr="00DC0CD1">
        <w:rPr>
          <w:rFonts w:eastAsia="Times New Roman" w:cs="Times New Roman"/>
          <w:kern w:val="0"/>
          <w14:ligatures w14:val="none"/>
        </w:rPr>
        <w:t>Catholic Action’s own reformers named this shift explicitly: a “spiritual collectivism” that relocated salvation in institutional and social reform rather than a believer’s relation to Christ (Gauvreau</w:t>
      </w:r>
      <w:r w:rsidR="006E382C">
        <w:rPr>
          <w:rFonts w:eastAsia="Times New Roman" w:cs="Times New Roman"/>
          <w:kern w:val="0"/>
          <w14:ligatures w14:val="none"/>
        </w:rPr>
        <w:t>,</w:t>
      </w:r>
      <w:r w:rsidR="009C0008" w:rsidRPr="00DC0CD1">
        <w:rPr>
          <w:rFonts w:eastAsia="Times New Roman" w:cs="Times New Roman"/>
          <w:kern w:val="0"/>
          <w14:ligatures w14:val="none"/>
        </w:rPr>
        <w:t xml:space="preserve"> 2000, pp. 808, 814–815)—the same displacement this article traces from a different angle. </w:t>
      </w:r>
      <w:r w:rsidRPr="00DC0CD1">
        <w:rPr>
          <w:rFonts w:eastAsia="Times New Roman" w:cs="Times New Roman"/>
          <w:kern w:val="0"/>
          <w14:ligatures w14:val="none"/>
        </w:rPr>
        <w:t>For much of the twentieth century, Catholicism</w:t>
      </w:r>
      <w:r w:rsidR="006E382C">
        <w:rPr>
          <w:rFonts w:eastAsia="Times New Roman" w:cs="Times New Roman"/>
          <w:kern w:val="0"/>
          <w14:ligatures w14:val="none"/>
        </w:rPr>
        <w:t xml:space="preserve"> had</w:t>
      </w:r>
      <w:r w:rsidRPr="00DC0CD1">
        <w:rPr>
          <w:rFonts w:eastAsia="Times New Roman" w:cs="Times New Roman"/>
          <w:kern w:val="0"/>
          <w14:ligatures w14:val="none"/>
        </w:rPr>
        <w:t xml:space="preserve"> provided what Berger would describe as the dominant plausibility structure through which Quebec society understood itself (Berger</w:t>
      </w:r>
      <w:r w:rsidR="006E382C">
        <w:rPr>
          <w:rFonts w:eastAsia="Times New Roman" w:cs="Times New Roman"/>
          <w:kern w:val="0"/>
          <w14:ligatures w14:val="none"/>
        </w:rPr>
        <w:t>,</w:t>
      </w:r>
      <w:r w:rsidRPr="00DC0CD1">
        <w:rPr>
          <w:rFonts w:eastAsia="Times New Roman" w:cs="Times New Roman"/>
          <w:kern w:val="0"/>
          <w14:ligatures w14:val="none"/>
        </w:rPr>
        <w:t xml:space="preserve"> 1967, p. 45). The Quiet Revolution rapidly transformed that institutional landscape through the deconfessionalization of education and social services, the expansion of the modern state, and the erosion of the Church's public authority. Historians widely regard this period as marking the decisive marginalization of Catholicism</w:t>
      </w:r>
      <w:r w:rsidR="00D149FF">
        <w:rPr>
          <w:rFonts w:eastAsia="Times New Roman" w:cs="Times New Roman"/>
          <w:kern w:val="0"/>
          <w14:ligatures w14:val="none"/>
        </w:rPr>
        <w:t>’</w:t>
      </w:r>
      <w:r w:rsidRPr="00DC0CD1">
        <w:rPr>
          <w:rFonts w:eastAsia="Times New Roman" w:cs="Times New Roman"/>
          <w:kern w:val="0"/>
          <w14:ligatures w14:val="none"/>
        </w:rPr>
        <w:t>s social and cultural role within Quebec society (Gauvreau</w:t>
      </w:r>
      <w:r w:rsidR="006E382C">
        <w:rPr>
          <w:rFonts w:eastAsia="Times New Roman" w:cs="Times New Roman"/>
          <w:kern w:val="0"/>
          <w14:ligatures w14:val="none"/>
        </w:rPr>
        <w:t>,</w:t>
      </w:r>
      <w:r w:rsidRPr="00DC0CD1">
        <w:rPr>
          <w:rFonts w:eastAsia="Times New Roman" w:cs="Times New Roman"/>
          <w:kern w:val="0"/>
          <w14:ligatures w14:val="none"/>
        </w:rPr>
        <w:t xml:space="preserve"> 2000, pp. 828–833). Although Quebec remains culturally distinctive, Catholic affiliation and religious practice have continued to weaken across successive generations </w:t>
      </w:r>
      <w:r w:rsidR="00C17094" w:rsidRPr="00DC0CD1">
        <w:rPr>
          <w:rFonts w:eastAsia="Times New Roman" w:cs="Times New Roman"/>
          <w:kern w:val="0"/>
          <w14:ligatures w14:val="none"/>
        </w:rPr>
        <w:t xml:space="preserve">(Nault </w:t>
      </w:r>
      <w:r w:rsidR="006E382C">
        <w:rPr>
          <w:rFonts w:eastAsia="Times New Roman" w:cs="Times New Roman"/>
          <w:kern w:val="0"/>
          <w14:ligatures w14:val="none"/>
        </w:rPr>
        <w:t>&amp;</w:t>
      </w:r>
      <w:r w:rsidR="00C17094" w:rsidRPr="00DC0CD1">
        <w:rPr>
          <w:rFonts w:eastAsia="Times New Roman" w:cs="Times New Roman"/>
          <w:kern w:val="0"/>
          <w14:ligatures w14:val="none"/>
        </w:rPr>
        <w:t xml:space="preserve"> Meunier</w:t>
      </w:r>
      <w:r w:rsidR="006E382C">
        <w:rPr>
          <w:rFonts w:eastAsia="Times New Roman" w:cs="Times New Roman"/>
          <w:kern w:val="0"/>
          <w14:ligatures w14:val="none"/>
        </w:rPr>
        <w:t>,</w:t>
      </w:r>
      <w:r w:rsidR="00C17094" w:rsidRPr="00DC0CD1">
        <w:rPr>
          <w:rFonts w:eastAsia="Times New Roman" w:cs="Times New Roman"/>
          <w:kern w:val="0"/>
          <w14:ligatures w14:val="none"/>
        </w:rPr>
        <w:t xml:space="preserve"> 2017, pp. 236–238, 240–241)</w:t>
      </w:r>
      <w:r w:rsidR="00C17094">
        <w:rPr>
          <w:rFonts w:eastAsia="Times New Roman" w:cs="Times New Roman"/>
          <w:kern w:val="0"/>
          <w14:ligatures w14:val="none"/>
        </w:rPr>
        <w:t>.</w:t>
      </w:r>
    </w:p>
    <w:p w14:paraId="03DE4D93" w14:textId="3E8E0C47" w:rsidR="00E94F21" w:rsidRDefault="00A31439" w:rsidP="001B68BF">
      <w:pPr>
        <w:ind w:firstLine="360"/>
        <w:rPr>
          <w:rFonts w:eastAsia="Times New Roman" w:cs="Times New Roman"/>
          <w:kern w:val="0"/>
          <w14:ligatures w14:val="none"/>
        </w:rPr>
      </w:pPr>
      <w:r w:rsidRPr="00A31439">
        <w:rPr>
          <w:rFonts w:eastAsia="Times New Roman" w:cs="Times New Roman"/>
          <w:kern w:val="0"/>
          <w14:ligatures w14:val="none"/>
        </w:rPr>
        <w:t>Read through Walls</w:t>
      </w:r>
      <w:r w:rsidR="00C74D50">
        <w:rPr>
          <w:rFonts w:eastAsia="Times New Roman" w:cs="Times New Roman"/>
          <w:kern w:val="0"/>
          <w14:ligatures w14:val="none"/>
        </w:rPr>
        <w:t>’</w:t>
      </w:r>
      <w:r w:rsidRPr="00A31439">
        <w:rPr>
          <w:rFonts w:eastAsia="Times New Roman" w:cs="Times New Roman"/>
          <w:kern w:val="0"/>
          <w14:ligatures w14:val="none"/>
        </w:rPr>
        <w:t>s convert/proselyte grammar, the Quebec experience directs attention beyond the decline of institutional Christianity itself to the mode by which Christian faith had been reproduced. The collapse of a plausibility structure does not in itself distinguish between conversion and proselytism. It does, however, expose the degree to which Christian identity ha</w:t>
      </w:r>
      <w:r w:rsidR="00C1019B">
        <w:rPr>
          <w:rFonts w:eastAsia="Times New Roman" w:cs="Times New Roman"/>
          <w:kern w:val="0"/>
          <w14:ligatures w14:val="none"/>
        </w:rPr>
        <w:t>d</w:t>
      </w:r>
      <w:r w:rsidRPr="00A31439">
        <w:rPr>
          <w:rFonts w:eastAsia="Times New Roman" w:cs="Times New Roman"/>
          <w:kern w:val="0"/>
          <w14:ligatures w14:val="none"/>
        </w:rPr>
        <w:t xml:space="preserve"> depended upon institutional continuity rather than continual conversion. Montreal therefore renders visible the distinction developed in the preceding sections: institutional reproduction can preserve Christian forms across generations, yet only </w:t>
      </w:r>
      <w:proofErr w:type="spellStart"/>
      <w:r w:rsidRPr="00C74D50">
        <w:rPr>
          <w:rFonts w:eastAsia="Times New Roman" w:cs="Times New Roman"/>
          <w:i/>
          <w:iCs/>
          <w:kern w:val="0"/>
          <w14:ligatures w14:val="none"/>
        </w:rPr>
        <w:t>shub</w:t>
      </w:r>
      <w:proofErr w:type="spellEnd"/>
      <w:r w:rsidRPr="00C74D50">
        <w:rPr>
          <w:rFonts w:eastAsia="Times New Roman" w:cs="Times New Roman"/>
          <w:i/>
          <w:iCs/>
          <w:kern w:val="0"/>
          <w14:ligatures w14:val="none"/>
        </w:rPr>
        <w:t xml:space="preserve"> </w:t>
      </w:r>
      <w:r w:rsidRPr="00A31439">
        <w:rPr>
          <w:rFonts w:eastAsia="Times New Roman" w:cs="Times New Roman"/>
          <w:kern w:val="0"/>
          <w14:ligatures w14:val="none"/>
        </w:rPr>
        <w:t>continually turns persons and cultures toward Christ. The coexistence of declining historic Catholicism and newly translated immigrant Christian communities within the same city sharpens that contrast. This coexistence illustrates Walls</w:t>
      </w:r>
      <w:r w:rsidR="00743982">
        <w:rPr>
          <w:rFonts w:eastAsia="Times New Roman" w:cs="Times New Roman"/>
          <w:kern w:val="0"/>
          <w14:ligatures w14:val="none"/>
        </w:rPr>
        <w:t>’</w:t>
      </w:r>
      <w:r w:rsidRPr="00A31439">
        <w:rPr>
          <w:rFonts w:eastAsia="Times New Roman" w:cs="Times New Roman"/>
          <w:kern w:val="0"/>
          <w14:ligatures w14:val="none"/>
        </w:rPr>
        <w:t xml:space="preserve">s central insight that Christianity endures not by preserving a single Christian civilization but by continually engendering </w:t>
      </w:r>
      <w:r w:rsidR="00CC6E9F">
        <w:rPr>
          <w:rFonts w:eastAsia="Times New Roman" w:cs="Times New Roman"/>
          <w:kern w:val="0"/>
          <w14:ligatures w14:val="none"/>
        </w:rPr>
        <w:t>“</w:t>
      </w:r>
      <w:r w:rsidRPr="00A31439">
        <w:rPr>
          <w:rFonts w:eastAsia="Times New Roman" w:cs="Times New Roman"/>
          <w:kern w:val="0"/>
          <w14:ligatures w14:val="none"/>
        </w:rPr>
        <w:t>new Christian keynotes</w:t>
      </w:r>
      <w:r w:rsidR="00CC6E9F">
        <w:rPr>
          <w:rFonts w:eastAsia="Times New Roman" w:cs="Times New Roman"/>
          <w:kern w:val="0"/>
          <w14:ligatures w14:val="none"/>
        </w:rPr>
        <w:t>”</w:t>
      </w:r>
      <w:r w:rsidRPr="00A31439">
        <w:rPr>
          <w:rFonts w:eastAsia="Times New Roman" w:cs="Times New Roman"/>
          <w:kern w:val="0"/>
          <w14:ligatures w14:val="none"/>
        </w:rPr>
        <w:t xml:space="preserve"> as the gospel is translated into new cultural worlds (Walls</w:t>
      </w:r>
      <w:r w:rsidR="00372D5B">
        <w:rPr>
          <w:rFonts w:eastAsia="Times New Roman" w:cs="Times New Roman"/>
          <w:kern w:val="0"/>
          <w14:ligatures w14:val="none"/>
        </w:rPr>
        <w:t>,</w:t>
      </w:r>
      <w:r w:rsidRPr="00A31439">
        <w:rPr>
          <w:rFonts w:eastAsia="Times New Roman" w:cs="Times New Roman"/>
          <w:kern w:val="0"/>
          <w14:ligatures w14:val="none"/>
        </w:rPr>
        <w:t xml:space="preserve"> 2025, p. 130).</w:t>
      </w:r>
    </w:p>
    <w:p w14:paraId="4CDBDC91" w14:textId="22BE336C" w:rsidR="003D4FAB" w:rsidRPr="00E94F21" w:rsidRDefault="003D4FAB" w:rsidP="001B68BF">
      <w:pPr>
        <w:ind w:firstLine="360"/>
        <w:rPr>
          <w:rFonts w:eastAsia="Times New Roman" w:cs="Times New Roman"/>
          <w:kern w:val="0"/>
          <w14:ligatures w14:val="none"/>
        </w:rPr>
      </w:pPr>
      <w:r w:rsidRPr="003D4FAB">
        <w:rPr>
          <w:rFonts w:eastAsia="Times New Roman" w:cs="Times New Roman"/>
          <w:kern w:val="0"/>
          <w14:ligatures w14:val="none"/>
        </w:rPr>
        <w:t xml:space="preserve">Montreal is therefore significant not because it proves the argument, but because it renders unusually visible the relationship between institutional reproduction and continuing conversion. The dynamics observed there are not uniquely Québécois. They illuminate a wider question that turns from diagnosis to mechanism: </w:t>
      </w:r>
      <w:r w:rsidR="00372D5B">
        <w:rPr>
          <w:rFonts w:eastAsia="Times New Roman" w:cs="Times New Roman"/>
          <w:kern w:val="0"/>
          <w14:ligatures w14:val="none"/>
        </w:rPr>
        <w:t>H</w:t>
      </w:r>
      <w:r w:rsidRPr="003D4FAB">
        <w:rPr>
          <w:rFonts w:eastAsia="Times New Roman" w:cs="Times New Roman"/>
          <w:kern w:val="0"/>
          <w14:ligatures w14:val="none"/>
        </w:rPr>
        <w:t>ow does Christ remain conceptually central while becoming operationally displaced within Christian witness?</w:t>
      </w:r>
    </w:p>
    <w:p w14:paraId="1870CED2" w14:textId="75C78308" w:rsidR="00481EA7" w:rsidRDefault="00481EA7" w:rsidP="001B68BF">
      <w:pPr>
        <w:pStyle w:val="Heading1"/>
        <w:spacing w:before="0"/>
        <w:rPr>
          <w:rFonts w:cs="Times New Roman"/>
        </w:rPr>
      </w:pPr>
      <w:r w:rsidRPr="00481EA7">
        <w:rPr>
          <w:rFonts w:cs="Times New Roman"/>
        </w:rPr>
        <w:lastRenderedPageBreak/>
        <w:t>Mechanism: Operational Displacement</w:t>
      </w:r>
    </w:p>
    <w:p w14:paraId="6A85C65A" w14:textId="49410AF5" w:rsidR="00372D5B" w:rsidRPr="00372D5B" w:rsidRDefault="00372D5B" w:rsidP="00F97985">
      <w:r>
        <w:t>The second movement explains the operational displacement of Christ’s agency mechanically, tracing how Walls’s operational maps become stabilized by Berger’s plausibility structures, reoriented epistemically by Willard’s account of Christ as operational reality, and rendered theologically decisive by Flett’s account of mission’s acting subject.</w:t>
      </w:r>
    </w:p>
    <w:p w14:paraId="3630ABFE" w14:textId="01FAD115" w:rsidR="00481EA7" w:rsidRPr="00481EA7" w:rsidRDefault="00CD4AE9" w:rsidP="001B68BF">
      <w:pPr>
        <w:pStyle w:val="Heading2"/>
        <w:spacing w:before="0" w:beforeAutospacing="0" w:afterAutospacing="0"/>
      </w:pPr>
      <w:r>
        <w:t>Operational Maps and the Direction of Conversion</w:t>
      </w:r>
    </w:p>
    <w:p w14:paraId="6237EC8E" w14:textId="19FE1FA2" w:rsidR="00CD4AE9" w:rsidRDefault="00CD4AE9" w:rsidP="001B68BF">
      <w:pPr>
        <w:rPr>
          <w:color w:val="000000"/>
        </w:rPr>
      </w:pPr>
      <w:r>
        <w:rPr>
          <w:rFonts w:eastAsia="Times New Roman" w:cs="Times New Roman"/>
          <w:color w:val="000000"/>
        </w:rPr>
        <w:t xml:space="preserve">Walls locates Christian conversion within the dynamics of worldview. A worldview is a </w:t>
      </w:r>
      <w:r w:rsidR="006D7309">
        <w:rPr>
          <w:rFonts w:eastAsia="Times New Roman" w:cs="Times New Roman"/>
          <w:color w:val="000000"/>
        </w:rPr>
        <w:t>“</w:t>
      </w:r>
      <w:r>
        <w:rPr>
          <w:rFonts w:eastAsia="Times New Roman" w:cs="Times New Roman"/>
          <w:color w:val="000000"/>
        </w:rPr>
        <w:t>mental map of the universe</w:t>
      </w:r>
      <w:r w:rsidR="006D7309">
        <w:rPr>
          <w:rFonts w:eastAsia="Times New Roman" w:cs="Times New Roman"/>
          <w:color w:val="000000"/>
        </w:rPr>
        <w:t>”</w:t>
      </w:r>
      <w:r>
        <w:rPr>
          <w:rFonts w:eastAsia="Times New Roman" w:cs="Times New Roman"/>
          <w:color w:val="000000"/>
        </w:rPr>
        <w:t xml:space="preserve"> through which individuals and communities interpret reality, locate themselves within it, and determine how to act (Walls</w:t>
      </w:r>
      <w:r w:rsidR="00BD33E9">
        <w:rPr>
          <w:rFonts w:eastAsia="Times New Roman" w:cs="Times New Roman"/>
          <w:color w:val="000000"/>
        </w:rPr>
        <w:t>,</w:t>
      </w:r>
      <w:r>
        <w:rPr>
          <w:rFonts w:eastAsia="Times New Roman" w:cs="Times New Roman"/>
          <w:color w:val="000000"/>
        </w:rPr>
        <w:t xml:space="preserve"> 2025, pp. 75–76). These maps are not merely repositories of belief but operational systems that organize relationships, obligations, sources of authority, places of danger, and means of protection. Consequently, what matters is not only what a worldview contains but the relative operational importance assigned to its various elements (Walls</w:t>
      </w:r>
      <w:r w:rsidR="00BD33E9">
        <w:rPr>
          <w:rFonts w:eastAsia="Times New Roman" w:cs="Times New Roman"/>
          <w:color w:val="000000"/>
        </w:rPr>
        <w:t>,</w:t>
      </w:r>
      <w:r>
        <w:rPr>
          <w:rFonts w:eastAsia="Times New Roman" w:cs="Times New Roman"/>
          <w:color w:val="000000"/>
        </w:rPr>
        <w:t xml:space="preserve"> 2025, pp. 76–77).</w:t>
      </w:r>
    </w:p>
    <w:p w14:paraId="167AFE65" w14:textId="0E33B9D2" w:rsidR="00CD4AE9" w:rsidRDefault="00CD4AE9" w:rsidP="001B68BF">
      <w:pPr>
        <w:ind w:firstLine="360"/>
        <w:rPr>
          <w:color w:val="000000"/>
        </w:rPr>
      </w:pPr>
      <w:r>
        <w:rPr>
          <w:rFonts w:eastAsia="Times New Roman" w:cs="Times New Roman"/>
          <w:color w:val="000000"/>
        </w:rPr>
        <w:t xml:space="preserve">For this </w:t>
      </w:r>
      <w:r w:rsidR="009F719D">
        <w:rPr>
          <w:rFonts w:eastAsia="Times New Roman" w:cs="Times New Roman"/>
          <w:color w:val="000000"/>
        </w:rPr>
        <w:t>reason,</w:t>
      </w:r>
      <w:r>
        <w:rPr>
          <w:rFonts w:eastAsia="Times New Roman" w:cs="Times New Roman"/>
          <w:color w:val="000000"/>
        </w:rPr>
        <w:t xml:space="preserve"> Walls distinguishes conceptual from operational importance. A community may conceptually affirm God as creator and ruler of the universe while operationally giving far greater attention to ancestors, territorial spirits, or other powers that are believed to govern everyday life (Walls</w:t>
      </w:r>
      <w:r w:rsidR="00FA3892">
        <w:rPr>
          <w:rFonts w:eastAsia="Times New Roman" w:cs="Times New Roman"/>
          <w:color w:val="000000"/>
        </w:rPr>
        <w:t>,</w:t>
      </w:r>
      <w:r>
        <w:rPr>
          <w:rFonts w:eastAsia="Times New Roman" w:cs="Times New Roman"/>
          <w:color w:val="000000"/>
        </w:rPr>
        <w:t xml:space="preserve"> 2025, p. 77). The distinction is not limited to so-called primal religions. Christians likewise construct operational maps by selectively appropriating the theological resources available to them. There is therefore no </w:t>
      </w:r>
      <w:r w:rsidR="00FA3892">
        <w:rPr>
          <w:rFonts w:eastAsia="Times New Roman" w:cs="Times New Roman"/>
          <w:color w:val="000000"/>
        </w:rPr>
        <w:t xml:space="preserve">single </w:t>
      </w:r>
      <w:r>
        <w:rPr>
          <w:rFonts w:eastAsia="Times New Roman" w:cs="Times New Roman"/>
          <w:color w:val="000000"/>
        </w:rPr>
        <w:t xml:space="preserve">abstract </w:t>
      </w:r>
      <w:r w:rsidR="00FA045D">
        <w:rPr>
          <w:rFonts w:eastAsia="Times New Roman" w:cs="Times New Roman"/>
          <w:color w:val="000000"/>
        </w:rPr>
        <w:t>“</w:t>
      </w:r>
      <w:r>
        <w:rPr>
          <w:rFonts w:eastAsia="Times New Roman" w:cs="Times New Roman"/>
          <w:color w:val="000000"/>
        </w:rPr>
        <w:t>Christian worldview</w:t>
      </w:r>
      <w:r w:rsidR="00FA045D">
        <w:rPr>
          <w:rFonts w:eastAsia="Times New Roman" w:cs="Times New Roman"/>
          <w:color w:val="000000"/>
        </w:rPr>
        <w:t>”</w:t>
      </w:r>
      <w:r>
        <w:rPr>
          <w:rFonts w:eastAsia="Times New Roman" w:cs="Times New Roman"/>
          <w:color w:val="000000"/>
        </w:rPr>
        <w:t xml:space="preserve"> but </w:t>
      </w:r>
      <w:r w:rsidR="00FA3892">
        <w:rPr>
          <w:rFonts w:eastAsia="Times New Roman" w:cs="Times New Roman"/>
          <w:color w:val="000000"/>
        </w:rPr>
        <w:t xml:space="preserve">in fact </w:t>
      </w:r>
      <w:r>
        <w:rPr>
          <w:rFonts w:eastAsia="Times New Roman" w:cs="Times New Roman"/>
          <w:color w:val="000000"/>
        </w:rPr>
        <w:t>many Christian worldviews sharing common Christian convictions while continuing to reflect the cultural worlds from which they arise (Walls</w:t>
      </w:r>
      <w:r w:rsidR="00FA3892">
        <w:rPr>
          <w:rFonts w:eastAsia="Times New Roman" w:cs="Times New Roman"/>
          <w:color w:val="000000"/>
        </w:rPr>
        <w:t>,</w:t>
      </w:r>
      <w:r>
        <w:rPr>
          <w:rFonts w:eastAsia="Times New Roman" w:cs="Times New Roman"/>
          <w:color w:val="000000"/>
        </w:rPr>
        <w:t xml:space="preserve"> 2025, pp. 77–78).</w:t>
      </w:r>
    </w:p>
    <w:p w14:paraId="077E375F" w14:textId="52197524" w:rsidR="00CD4AE9" w:rsidRDefault="00CD4AE9" w:rsidP="001B68BF">
      <w:pPr>
        <w:ind w:firstLine="360"/>
        <w:rPr>
          <w:color w:val="000000"/>
        </w:rPr>
      </w:pPr>
      <w:r>
        <w:rPr>
          <w:rFonts w:eastAsia="Times New Roman" w:cs="Times New Roman"/>
          <w:color w:val="000000"/>
        </w:rPr>
        <w:t xml:space="preserve">Conversion does not replace one worldview with another. Rather, it revises an existing operational map. </w:t>
      </w:r>
      <w:r w:rsidR="00FA045D">
        <w:rPr>
          <w:rFonts w:eastAsia="Times New Roman" w:cs="Times New Roman"/>
          <w:color w:val="000000"/>
        </w:rPr>
        <w:t>“</w:t>
      </w:r>
      <w:r>
        <w:rPr>
          <w:rFonts w:eastAsia="Times New Roman" w:cs="Times New Roman"/>
          <w:color w:val="000000"/>
        </w:rPr>
        <w:t>The past has to be converted,</w:t>
      </w:r>
      <w:r w:rsidR="00FA045D">
        <w:rPr>
          <w:rFonts w:eastAsia="Times New Roman" w:cs="Times New Roman"/>
          <w:color w:val="000000"/>
        </w:rPr>
        <w:t>”</w:t>
      </w:r>
      <w:r>
        <w:rPr>
          <w:rFonts w:eastAsia="Times New Roman" w:cs="Times New Roman"/>
          <w:color w:val="000000"/>
        </w:rPr>
        <w:t xml:space="preserve"> Walls writes; </w:t>
      </w:r>
      <w:r w:rsidR="00FA045D">
        <w:rPr>
          <w:rFonts w:eastAsia="Times New Roman" w:cs="Times New Roman"/>
          <w:color w:val="000000"/>
        </w:rPr>
        <w:t>“</w:t>
      </w:r>
      <w:r>
        <w:rPr>
          <w:rFonts w:eastAsia="Times New Roman" w:cs="Times New Roman"/>
          <w:color w:val="000000"/>
        </w:rPr>
        <w:t>conversion means turning—turning what is already there toward Christ. It is less about content than about direction</w:t>
      </w:r>
      <w:r w:rsidR="00FA045D">
        <w:rPr>
          <w:rFonts w:eastAsia="Times New Roman" w:cs="Times New Roman"/>
          <w:color w:val="000000"/>
        </w:rPr>
        <w:t>”</w:t>
      </w:r>
      <w:r>
        <w:rPr>
          <w:rFonts w:eastAsia="Times New Roman" w:cs="Times New Roman"/>
          <w:color w:val="000000"/>
        </w:rPr>
        <w:t xml:space="preserve"> (Walls</w:t>
      </w:r>
      <w:r w:rsidR="00FA3892">
        <w:rPr>
          <w:rFonts w:eastAsia="Times New Roman" w:cs="Times New Roman"/>
          <w:color w:val="000000"/>
        </w:rPr>
        <w:t>,</w:t>
      </w:r>
      <w:r>
        <w:rPr>
          <w:rFonts w:eastAsia="Times New Roman" w:cs="Times New Roman"/>
          <w:color w:val="000000"/>
        </w:rPr>
        <w:t xml:space="preserve"> 2025, p. 79). Christian conversion therefore consists not in abandoning one's past but in progressively reordering inherited assumptions, relationships, and practices under the lordship of Christ (Walls</w:t>
      </w:r>
      <w:r w:rsidR="00FA3892">
        <w:rPr>
          <w:rFonts w:eastAsia="Times New Roman" w:cs="Times New Roman"/>
          <w:color w:val="000000"/>
        </w:rPr>
        <w:t>,</w:t>
      </w:r>
      <w:r>
        <w:rPr>
          <w:rFonts w:eastAsia="Times New Roman" w:cs="Times New Roman"/>
          <w:color w:val="000000"/>
        </w:rPr>
        <w:t xml:space="preserve"> 2025, pp. 78–81).</w:t>
      </w:r>
    </w:p>
    <w:p w14:paraId="00028586" w14:textId="716C60B1" w:rsidR="000C64C1" w:rsidRPr="00FA045D" w:rsidRDefault="00CD4AE9" w:rsidP="001B68BF">
      <w:pPr>
        <w:ind w:firstLine="360"/>
        <w:rPr>
          <w:color w:val="000000"/>
        </w:rPr>
      </w:pPr>
      <w:r>
        <w:rPr>
          <w:rFonts w:eastAsia="Times New Roman" w:cs="Times New Roman"/>
          <w:color w:val="000000"/>
        </w:rPr>
        <w:t xml:space="preserve">This distinction </w:t>
      </w:r>
      <w:r w:rsidR="00FA3892">
        <w:rPr>
          <w:rFonts w:eastAsia="Times New Roman" w:cs="Times New Roman"/>
          <w:color w:val="000000"/>
        </w:rPr>
        <w:t xml:space="preserve">between replacement and revision </w:t>
      </w:r>
      <w:r>
        <w:rPr>
          <w:rFonts w:eastAsia="Times New Roman" w:cs="Times New Roman"/>
          <w:color w:val="000000"/>
        </w:rPr>
        <w:t>supplies the mechanism underlying the present argument. The de-Jesus-</w:t>
      </w:r>
      <w:proofErr w:type="spellStart"/>
      <w:r>
        <w:rPr>
          <w:rFonts w:eastAsia="Times New Roman" w:cs="Times New Roman"/>
          <w:color w:val="000000"/>
        </w:rPr>
        <w:t>ing</w:t>
      </w:r>
      <w:proofErr w:type="spellEnd"/>
      <w:r>
        <w:rPr>
          <w:rFonts w:eastAsia="Times New Roman" w:cs="Times New Roman"/>
          <w:color w:val="000000"/>
        </w:rPr>
        <w:t xml:space="preserve"> of mission does not begin when Christian ministries cease to confess Christ conceptually, but when the operational maps by which they </w:t>
      </w:r>
      <w:r w:rsidR="00326D4E">
        <w:rPr>
          <w:rFonts w:eastAsia="Times New Roman" w:cs="Times New Roman"/>
          <w:color w:val="000000"/>
        </w:rPr>
        <w:t>function</w:t>
      </w:r>
      <w:r>
        <w:rPr>
          <w:rFonts w:eastAsia="Times New Roman" w:cs="Times New Roman"/>
          <w:color w:val="000000"/>
        </w:rPr>
        <w:t xml:space="preserve"> acquire a logic increasingly independent of his continuing agency. The </w:t>
      </w:r>
      <w:r w:rsidR="00FA3892">
        <w:rPr>
          <w:rFonts w:eastAsia="Times New Roman" w:cs="Times New Roman"/>
          <w:color w:val="000000"/>
        </w:rPr>
        <w:t xml:space="preserve">related </w:t>
      </w:r>
      <w:r>
        <w:rPr>
          <w:rFonts w:eastAsia="Times New Roman" w:cs="Times New Roman"/>
          <w:color w:val="000000"/>
        </w:rPr>
        <w:t>question is therefore not simply what Christian ministries say about Jesus, but what—or who—</w:t>
      </w:r>
      <w:r w:rsidR="00326D4E">
        <w:rPr>
          <w:rFonts w:eastAsia="Times New Roman" w:cs="Times New Roman"/>
          <w:color w:val="000000"/>
        </w:rPr>
        <w:t>governs</w:t>
      </w:r>
      <w:r>
        <w:rPr>
          <w:rFonts w:eastAsia="Times New Roman" w:cs="Times New Roman"/>
          <w:color w:val="000000"/>
        </w:rPr>
        <w:t xml:space="preserve"> their operative life. Walls develops this distinction to explain the conversion of persons and cultures. The following sections propose that it also illuminates the operational life of </w:t>
      </w:r>
      <w:r w:rsidR="00FA3892">
        <w:rPr>
          <w:rFonts w:eastAsia="Times New Roman" w:cs="Times New Roman"/>
          <w:color w:val="000000"/>
        </w:rPr>
        <w:t xml:space="preserve">a </w:t>
      </w:r>
      <w:r>
        <w:rPr>
          <w:rFonts w:eastAsia="Times New Roman" w:cs="Times New Roman"/>
          <w:color w:val="000000"/>
        </w:rPr>
        <w:t>church</w:t>
      </w:r>
      <w:r w:rsidR="00E761B2">
        <w:rPr>
          <w:rFonts w:eastAsia="Times New Roman" w:cs="Times New Roman"/>
          <w:color w:val="000000"/>
        </w:rPr>
        <w:t>’</w:t>
      </w:r>
      <w:r>
        <w:rPr>
          <w:rFonts w:eastAsia="Times New Roman" w:cs="Times New Roman"/>
          <w:color w:val="000000"/>
        </w:rPr>
        <w:t>s own ministries.</w:t>
      </w:r>
    </w:p>
    <w:p w14:paraId="21A900F3" w14:textId="65C64801" w:rsidR="00481EA7" w:rsidRPr="00481EA7" w:rsidRDefault="00481EA7" w:rsidP="001B68BF">
      <w:pPr>
        <w:pStyle w:val="Heading2"/>
        <w:spacing w:before="0" w:beforeAutospacing="0" w:afterAutospacing="0"/>
      </w:pPr>
      <w:r w:rsidRPr="00481EA7">
        <w:t>Plausibility Structure</w:t>
      </w:r>
      <w:r w:rsidR="00E9055F">
        <w:t>s</w:t>
      </w:r>
      <w:r w:rsidRPr="00481EA7">
        <w:t xml:space="preserve"> </w:t>
      </w:r>
      <w:r w:rsidR="00E9055F">
        <w:t>and the Stabilization of Operational Maps</w:t>
      </w:r>
    </w:p>
    <w:p w14:paraId="1542DA04" w14:textId="6A79D535" w:rsidR="00FC02B2" w:rsidRPr="00FC02B2" w:rsidRDefault="00FC02B2" w:rsidP="001B68BF">
      <w:pPr>
        <w:rPr>
          <w:rFonts w:eastAsia="Times New Roman" w:cs="Times New Roman"/>
          <w:kern w:val="0"/>
          <w14:ligatures w14:val="none"/>
        </w:rPr>
      </w:pPr>
      <w:r w:rsidRPr="00FC02B2">
        <w:rPr>
          <w:rFonts w:eastAsia="Times New Roman" w:cs="Times New Roman"/>
          <w:kern w:val="0"/>
          <w14:ligatures w14:val="none"/>
        </w:rPr>
        <w:t xml:space="preserve">Walls explains how operational maps are formed and revised through conversion. Berger explains why those maps, once socially embodied, become remarkably resistant to revision. Human beings do not sustain worldviews by private conviction alone but within social worlds that continually reinforce what is taken to be natural, credible, and self-evident. Berger describes these socially maintained worlds as plausibility structures: institutional and communal arrangements that make </w:t>
      </w:r>
      <w:proofErr w:type="gramStart"/>
      <w:r w:rsidRPr="00FC02B2">
        <w:rPr>
          <w:rFonts w:eastAsia="Times New Roman" w:cs="Times New Roman"/>
          <w:kern w:val="0"/>
          <w14:ligatures w14:val="none"/>
        </w:rPr>
        <w:t>particular understandings</w:t>
      </w:r>
      <w:proofErr w:type="gramEnd"/>
      <w:r w:rsidRPr="00FC02B2">
        <w:rPr>
          <w:rFonts w:eastAsia="Times New Roman" w:cs="Times New Roman"/>
          <w:kern w:val="0"/>
          <w14:ligatures w14:val="none"/>
        </w:rPr>
        <w:t xml:space="preserve"> of reality appear not merely possible but obvious (Berger</w:t>
      </w:r>
      <w:r w:rsidR="003C21C7">
        <w:rPr>
          <w:rFonts w:eastAsia="Times New Roman" w:cs="Times New Roman"/>
          <w:kern w:val="0"/>
          <w14:ligatures w14:val="none"/>
        </w:rPr>
        <w:t>,</w:t>
      </w:r>
      <w:r w:rsidRPr="00FC02B2">
        <w:rPr>
          <w:rFonts w:eastAsia="Times New Roman" w:cs="Times New Roman"/>
          <w:kern w:val="0"/>
          <w14:ligatures w14:val="none"/>
        </w:rPr>
        <w:t xml:space="preserve"> 1967, pp. </w:t>
      </w:r>
      <w:r w:rsidR="00326D4E">
        <w:rPr>
          <w:rFonts w:eastAsia="Times New Roman" w:cs="Times New Roman"/>
          <w:kern w:val="0"/>
          <w14:ligatures w14:val="none"/>
        </w:rPr>
        <w:t>38</w:t>
      </w:r>
      <w:r w:rsidRPr="00FC02B2">
        <w:rPr>
          <w:rFonts w:eastAsia="Times New Roman" w:cs="Times New Roman"/>
          <w:kern w:val="0"/>
          <w14:ligatures w14:val="none"/>
        </w:rPr>
        <w:t>–</w:t>
      </w:r>
      <w:r w:rsidR="00326D4E">
        <w:rPr>
          <w:rFonts w:eastAsia="Times New Roman" w:cs="Times New Roman"/>
          <w:kern w:val="0"/>
          <w14:ligatures w14:val="none"/>
        </w:rPr>
        <w:lastRenderedPageBreak/>
        <w:t>60</w:t>
      </w:r>
      <w:r w:rsidRPr="00FC02B2">
        <w:rPr>
          <w:rFonts w:eastAsia="Times New Roman" w:cs="Times New Roman"/>
          <w:kern w:val="0"/>
          <w14:ligatures w14:val="none"/>
        </w:rPr>
        <w:t>). Operational maps therefore become durable not simply because individuals believe them but because they are continually reproduced through shared practices, institutions, and communities.</w:t>
      </w:r>
    </w:p>
    <w:p w14:paraId="40B277A9" w14:textId="02C5492D" w:rsidR="00FC02B2" w:rsidRPr="00FC02B2" w:rsidRDefault="00FC02B2" w:rsidP="001B68BF">
      <w:pPr>
        <w:ind w:firstLine="360"/>
        <w:rPr>
          <w:rFonts w:eastAsia="Times New Roman" w:cs="Times New Roman"/>
          <w:kern w:val="0"/>
          <w14:ligatures w14:val="none"/>
        </w:rPr>
      </w:pPr>
      <w:r w:rsidRPr="00FC02B2">
        <w:rPr>
          <w:rFonts w:eastAsia="Times New Roman" w:cs="Times New Roman"/>
          <w:kern w:val="0"/>
          <w14:ligatures w14:val="none"/>
        </w:rPr>
        <w:t xml:space="preserve">This sociological insight extends the preceding discussion. If Walls explains why conversion consists in the continual revision of operational maps, Berger explains why such revision is never complete. Every successful Christian movement eventually develops institutions capable of preserving memory, transmitting practice, and training successive generations. Such institutional development is not itself problematic. Indeed, without it the </w:t>
      </w:r>
      <w:r w:rsidR="003C21C7">
        <w:rPr>
          <w:rFonts w:eastAsia="Times New Roman" w:cs="Times New Roman"/>
          <w:kern w:val="0"/>
          <w14:ligatures w14:val="none"/>
        </w:rPr>
        <w:t>C</w:t>
      </w:r>
      <w:r w:rsidRPr="00FC02B2">
        <w:rPr>
          <w:rFonts w:eastAsia="Times New Roman" w:cs="Times New Roman"/>
          <w:kern w:val="0"/>
          <w14:ligatures w14:val="none"/>
        </w:rPr>
        <w:t>hurch could not sustain its witness historically. The difficulty arises when institutional continuity gradually acquires greater operational importance than the continuing conversion it originally existed to serve. What began as participation in Christ's mission increasingly becomes participation in the institutional world that has grown around that mission.</w:t>
      </w:r>
    </w:p>
    <w:p w14:paraId="19A56EAE" w14:textId="5EF55527" w:rsidR="00FC02B2" w:rsidRPr="00FC02B2" w:rsidRDefault="00FC02B2" w:rsidP="001B68BF">
      <w:pPr>
        <w:ind w:firstLine="360"/>
        <w:rPr>
          <w:rFonts w:eastAsia="Times New Roman" w:cs="Times New Roman"/>
          <w:kern w:val="0"/>
          <w14:ligatures w14:val="none"/>
        </w:rPr>
      </w:pPr>
      <w:r w:rsidRPr="00FC02B2">
        <w:rPr>
          <w:rFonts w:eastAsia="Times New Roman" w:cs="Times New Roman"/>
          <w:kern w:val="0"/>
          <w14:ligatures w14:val="none"/>
        </w:rPr>
        <w:t xml:space="preserve">The result is what </w:t>
      </w:r>
      <w:r w:rsidR="00C233C0">
        <w:rPr>
          <w:rFonts w:eastAsia="Times New Roman" w:cs="Times New Roman"/>
          <w:kern w:val="0"/>
          <w14:ligatures w14:val="none"/>
        </w:rPr>
        <w:t>was</w:t>
      </w:r>
      <w:r w:rsidRPr="00FC02B2">
        <w:rPr>
          <w:rFonts w:eastAsia="Times New Roman" w:cs="Times New Roman"/>
          <w:kern w:val="0"/>
          <w14:ligatures w14:val="none"/>
        </w:rPr>
        <w:t xml:space="preserve"> described </w:t>
      </w:r>
      <w:r w:rsidR="00C233C0">
        <w:rPr>
          <w:rFonts w:eastAsia="Times New Roman" w:cs="Times New Roman"/>
          <w:kern w:val="0"/>
          <w14:ligatures w14:val="none"/>
        </w:rPr>
        <w:t xml:space="preserve">earlier </w:t>
      </w:r>
      <w:r w:rsidRPr="00FC02B2">
        <w:rPr>
          <w:rFonts w:eastAsia="Times New Roman" w:cs="Times New Roman"/>
          <w:kern w:val="0"/>
          <w14:ligatures w14:val="none"/>
        </w:rPr>
        <w:t>as structural proselytism. Operational maps no longer belong merely to individual Christians but become embedded within institutional worlds that define what faithful ministry is expected to look like. Apologetics, evangelism, discipleship, and spiritual formation each cultivate</w:t>
      </w:r>
      <w:r w:rsidR="003C21C7">
        <w:rPr>
          <w:rFonts w:eastAsia="Times New Roman" w:cs="Times New Roman"/>
          <w:kern w:val="0"/>
          <w14:ligatures w14:val="none"/>
        </w:rPr>
        <w:t>s</w:t>
      </w:r>
      <w:r w:rsidRPr="00FC02B2">
        <w:rPr>
          <w:rFonts w:eastAsia="Times New Roman" w:cs="Times New Roman"/>
          <w:kern w:val="0"/>
          <w14:ligatures w14:val="none"/>
        </w:rPr>
        <w:t xml:space="preserve"> </w:t>
      </w:r>
      <w:r w:rsidR="003C21C7">
        <w:rPr>
          <w:rFonts w:eastAsia="Times New Roman" w:cs="Times New Roman"/>
          <w:kern w:val="0"/>
          <w14:ligatures w14:val="none"/>
        </w:rPr>
        <w:t>its</w:t>
      </w:r>
      <w:r w:rsidR="003C21C7" w:rsidRPr="00FC02B2">
        <w:rPr>
          <w:rFonts w:eastAsia="Times New Roman" w:cs="Times New Roman"/>
          <w:kern w:val="0"/>
          <w14:ligatures w14:val="none"/>
        </w:rPr>
        <w:t xml:space="preserve"> </w:t>
      </w:r>
      <w:r w:rsidRPr="00FC02B2">
        <w:rPr>
          <w:rFonts w:eastAsia="Times New Roman" w:cs="Times New Roman"/>
          <w:kern w:val="0"/>
          <w14:ligatures w14:val="none"/>
        </w:rPr>
        <w:t xml:space="preserve">own operational assumptions, educational pathways, professional communities, and criteria of success. These are sustained not only by theological conviction but by the plausibility structures each ministry has developed around itself. Consequently, fragmentation persists not because a </w:t>
      </w:r>
      <w:r w:rsidR="00E761B2">
        <w:rPr>
          <w:rFonts w:eastAsia="Times New Roman" w:cs="Times New Roman"/>
          <w:kern w:val="0"/>
          <w14:ligatures w14:val="none"/>
        </w:rPr>
        <w:t>c</w:t>
      </w:r>
      <w:r w:rsidRPr="00FC02B2">
        <w:rPr>
          <w:rFonts w:eastAsia="Times New Roman" w:cs="Times New Roman"/>
          <w:kern w:val="0"/>
          <w14:ligatures w14:val="none"/>
        </w:rPr>
        <w:t>hurch consciously rejects Christ but because each ministry inhabits a social world that continually reproduces its own operational logic.</w:t>
      </w:r>
    </w:p>
    <w:p w14:paraId="3EED87F9" w14:textId="77777777" w:rsidR="003C21C7" w:rsidRDefault="00FC02B2" w:rsidP="001B68BF">
      <w:pPr>
        <w:ind w:firstLine="360"/>
        <w:rPr>
          <w:rFonts w:eastAsia="Times New Roman" w:cs="Times New Roman"/>
          <w:kern w:val="0"/>
          <w14:ligatures w14:val="none"/>
        </w:rPr>
      </w:pPr>
      <w:r w:rsidRPr="00FC02B2">
        <w:rPr>
          <w:rFonts w:eastAsia="Times New Roman" w:cs="Times New Roman"/>
          <w:kern w:val="0"/>
          <w14:ligatures w14:val="none"/>
        </w:rPr>
        <w:t>Berger</w:t>
      </w:r>
      <w:r w:rsidR="00056C22">
        <w:rPr>
          <w:rFonts w:eastAsia="Times New Roman" w:cs="Times New Roman"/>
          <w:kern w:val="0"/>
          <w14:ligatures w14:val="none"/>
        </w:rPr>
        <w:t>’</w:t>
      </w:r>
      <w:r w:rsidRPr="00FC02B2">
        <w:rPr>
          <w:rFonts w:eastAsia="Times New Roman" w:cs="Times New Roman"/>
          <w:kern w:val="0"/>
          <w14:ligatures w14:val="none"/>
        </w:rPr>
        <w:t>s earlier reflections deepen this diagnosis. The Christian life requires not only an exodus from the false securities offered by the surrounding culture but also a continual exodus from every religious world that tempts believers to mistake institutional security for living dependence upon Christ</w:t>
      </w:r>
      <w:r w:rsidR="005D02D1" w:rsidRPr="005D02D1">
        <w:rPr>
          <w:rFonts w:eastAsia="Times New Roman" w:cs="Times New Roman"/>
          <w:kern w:val="0"/>
          <w14:ligatures w14:val="none"/>
        </w:rPr>
        <w:t xml:space="preserve"> (Berger</w:t>
      </w:r>
      <w:r w:rsidR="003C21C7">
        <w:rPr>
          <w:rFonts w:eastAsia="Times New Roman" w:cs="Times New Roman"/>
          <w:kern w:val="0"/>
          <w14:ligatures w14:val="none"/>
        </w:rPr>
        <w:t>,</w:t>
      </w:r>
      <w:r w:rsidR="005D02D1" w:rsidRPr="005D02D1">
        <w:rPr>
          <w:rFonts w:eastAsia="Times New Roman" w:cs="Times New Roman"/>
          <w:kern w:val="0"/>
          <w14:ligatures w14:val="none"/>
        </w:rPr>
        <w:t xml:space="preserve"> 1961, p. 180). </w:t>
      </w:r>
      <w:r w:rsidRPr="00FC02B2">
        <w:rPr>
          <w:rFonts w:eastAsia="Times New Roman" w:cs="Times New Roman"/>
          <w:kern w:val="0"/>
          <w14:ligatures w14:val="none"/>
        </w:rPr>
        <w:t>The danger is therefore not simply secularization but ecclesial domestication. Christian institutions may continue to confess Christ while functioning within plausibility structures that subtly relocate operational authority from Christ</w:t>
      </w:r>
      <w:r w:rsidR="00D0065F">
        <w:rPr>
          <w:rFonts w:eastAsia="Times New Roman" w:cs="Times New Roman"/>
          <w:kern w:val="0"/>
          <w14:ligatures w14:val="none"/>
        </w:rPr>
        <w:t>’</w:t>
      </w:r>
      <w:r w:rsidRPr="00FC02B2">
        <w:rPr>
          <w:rFonts w:eastAsia="Times New Roman" w:cs="Times New Roman"/>
          <w:kern w:val="0"/>
          <w14:ligatures w14:val="none"/>
        </w:rPr>
        <w:t>s continuing agency to the settled practices of the institution itself. Operational displacement thus persists because institutional worlds naturally reinforce the assumptions upon which they themselves depend.</w:t>
      </w:r>
    </w:p>
    <w:p w14:paraId="7FEB73C5" w14:textId="04D09F86" w:rsidR="00DB019F" w:rsidRPr="00481EA7" w:rsidRDefault="00DB019F" w:rsidP="001B68BF">
      <w:pPr>
        <w:ind w:firstLine="360"/>
        <w:rPr>
          <w:rFonts w:eastAsia="Times New Roman" w:cs="Times New Roman"/>
          <w:kern w:val="0"/>
          <w14:ligatures w14:val="none"/>
        </w:rPr>
      </w:pPr>
      <w:r w:rsidRPr="00FC02B2">
        <w:rPr>
          <w:rFonts w:eastAsia="Times New Roman" w:cs="Times New Roman"/>
          <w:kern w:val="0"/>
          <w14:ligatures w14:val="none"/>
        </w:rPr>
        <w:t>Six years later, however, Berger’s own retraction of the uniqueness of a living dependence on Christ supplies a striking illustration of the same displacement at the level of theological method itself. He declared the very distinction between Christian faith and religion “quite inadmissible,” insisting that “in any empirical discipline the ‘Christian faith’ is simply another case of the phenomenon ‘religion’” (Berger</w:t>
      </w:r>
      <w:r w:rsidR="003C21C7">
        <w:rPr>
          <w:rFonts w:eastAsia="Times New Roman" w:cs="Times New Roman"/>
          <w:kern w:val="0"/>
          <w14:ligatures w14:val="none"/>
        </w:rPr>
        <w:t>,</w:t>
      </w:r>
      <w:r w:rsidRPr="00FC02B2">
        <w:rPr>
          <w:rFonts w:eastAsia="Times New Roman" w:cs="Times New Roman"/>
          <w:kern w:val="0"/>
          <w14:ligatures w14:val="none"/>
        </w:rPr>
        <w:t xml:space="preserve"> 1967, p. 179). What began as participation in a </w:t>
      </w:r>
      <w:proofErr w:type="spellStart"/>
      <w:r w:rsidR="00C1019B">
        <w:rPr>
          <w:rFonts w:eastAsia="Times New Roman" w:cs="Times New Roman"/>
          <w:kern w:val="0"/>
          <w14:ligatures w14:val="none"/>
        </w:rPr>
        <w:t>c</w:t>
      </w:r>
      <w:r w:rsidRPr="00FC02B2">
        <w:rPr>
          <w:rFonts w:eastAsia="Times New Roman" w:cs="Times New Roman"/>
          <w:kern w:val="0"/>
          <w14:ligatures w14:val="none"/>
        </w:rPr>
        <w:t>hristological</w:t>
      </w:r>
      <w:proofErr w:type="spellEnd"/>
      <w:r w:rsidRPr="00FC02B2">
        <w:rPr>
          <w:rFonts w:eastAsia="Times New Roman" w:cs="Times New Roman"/>
          <w:kern w:val="0"/>
          <w14:ligatures w14:val="none"/>
        </w:rPr>
        <w:t xml:space="preserve"> standpoint had, within his own career, been absorbed into the settled methodological assumptions of sociological analysis—Christ </w:t>
      </w:r>
      <w:r w:rsidR="003C21C7">
        <w:rPr>
          <w:rFonts w:eastAsia="Times New Roman" w:cs="Times New Roman"/>
          <w:kern w:val="0"/>
          <w14:ligatures w14:val="none"/>
        </w:rPr>
        <w:t xml:space="preserve">had been </w:t>
      </w:r>
      <w:r w:rsidRPr="00FC02B2">
        <w:rPr>
          <w:rFonts w:eastAsia="Times New Roman" w:cs="Times New Roman"/>
          <w:kern w:val="0"/>
          <w14:ligatures w14:val="none"/>
        </w:rPr>
        <w:t>retained as an object of study, no longer received as the standpoint from which study proceeds.</w:t>
      </w:r>
    </w:p>
    <w:p w14:paraId="6F5B6FB8" w14:textId="4F58021E" w:rsidR="00481EA7" w:rsidRPr="00481EA7" w:rsidRDefault="00F64E30" w:rsidP="001B68BF">
      <w:pPr>
        <w:pStyle w:val="Heading2"/>
        <w:spacing w:before="0" w:beforeAutospacing="0" w:afterAutospacing="0"/>
      </w:pPr>
      <w:r>
        <w:t>Christ as Operational Reality</w:t>
      </w:r>
    </w:p>
    <w:p w14:paraId="4702781A" w14:textId="7E562085" w:rsidR="00C44329" w:rsidRDefault="007927B8" w:rsidP="001B68BF">
      <w:pPr>
        <w:rPr>
          <w:color w:val="000000"/>
        </w:rPr>
      </w:pPr>
      <w:r w:rsidRPr="007927B8">
        <w:rPr>
          <w:rFonts w:eastAsia="Times New Roman" w:cs="Times New Roman"/>
          <w:color w:val="000000"/>
        </w:rPr>
        <w:t>Dallas Willard provides the epistemological register of the argument</w:t>
      </w:r>
      <w:r w:rsidR="003C21C7">
        <w:rPr>
          <w:rFonts w:eastAsia="Times New Roman" w:cs="Times New Roman"/>
          <w:color w:val="000000"/>
        </w:rPr>
        <w:t>:</w:t>
      </w:r>
      <w:r w:rsidRPr="007927B8">
        <w:rPr>
          <w:rFonts w:eastAsia="Times New Roman" w:cs="Times New Roman"/>
          <w:color w:val="000000"/>
        </w:rPr>
        <w:t xml:space="preserve"> </w:t>
      </w:r>
      <w:r w:rsidR="009C440F">
        <w:rPr>
          <w:rFonts w:eastAsia="Times New Roman" w:cs="Times New Roman"/>
          <w:color w:val="000000"/>
        </w:rPr>
        <w:t>“</w:t>
      </w:r>
      <w:r w:rsidRPr="007927B8">
        <w:rPr>
          <w:rFonts w:eastAsia="Times New Roman" w:cs="Times New Roman"/>
          <w:color w:val="000000"/>
        </w:rPr>
        <w:t>In practical terms, reality is what you can rely on</w:t>
      </w:r>
      <w:r w:rsidR="009C440F">
        <w:rPr>
          <w:rFonts w:eastAsia="Times New Roman" w:cs="Times New Roman"/>
          <w:color w:val="000000"/>
        </w:rPr>
        <w:t>”</w:t>
      </w:r>
      <w:r w:rsidRPr="007927B8">
        <w:rPr>
          <w:rFonts w:eastAsia="Times New Roman" w:cs="Times New Roman"/>
          <w:color w:val="000000"/>
        </w:rPr>
        <w:t xml:space="preserve"> (Willard</w:t>
      </w:r>
      <w:r w:rsidR="003C21C7">
        <w:rPr>
          <w:rFonts w:eastAsia="Times New Roman" w:cs="Times New Roman"/>
          <w:color w:val="000000"/>
        </w:rPr>
        <w:t>,</w:t>
      </w:r>
      <w:r w:rsidRPr="007927B8">
        <w:rPr>
          <w:rFonts w:eastAsia="Times New Roman" w:cs="Times New Roman"/>
          <w:color w:val="000000"/>
        </w:rPr>
        <w:t xml:space="preserve"> 2009, p. 45). The de-Jesus-</w:t>
      </w:r>
      <w:proofErr w:type="spellStart"/>
      <w:r w:rsidRPr="007927B8">
        <w:rPr>
          <w:rFonts w:eastAsia="Times New Roman" w:cs="Times New Roman"/>
          <w:color w:val="000000"/>
        </w:rPr>
        <w:t>ing</w:t>
      </w:r>
      <w:proofErr w:type="spellEnd"/>
      <w:r w:rsidRPr="007927B8">
        <w:rPr>
          <w:rFonts w:eastAsia="Times New Roman" w:cs="Times New Roman"/>
          <w:color w:val="000000"/>
        </w:rPr>
        <w:t xml:space="preserve"> of mission therefore involves more than a defective theology of ministry; it reflects an epistemic distortion. Ministries may continue to speak truthfully about Christ while gradually ceasing to rely upon him as the operative reality that governs their life and practice.</w:t>
      </w:r>
    </w:p>
    <w:p w14:paraId="0D2798AF" w14:textId="17DE71E6" w:rsidR="00472C0F" w:rsidRDefault="00472C0F" w:rsidP="001B68BF">
      <w:pPr>
        <w:ind w:firstLine="360"/>
        <w:rPr>
          <w:color w:val="000000"/>
        </w:rPr>
      </w:pPr>
      <w:r w:rsidRPr="00472C0F">
        <w:rPr>
          <w:rFonts w:eastAsia="Times New Roman" w:cs="Times New Roman"/>
          <w:color w:val="000000"/>
        </w:rPr>
        <w:lastRenderedPageBreak/>
        <w:t xml:space="preserve">Willard later describes Christ as </w:t>
      </w:r>
      <w:r w:rsidR="0063316D">
        <w:rPr>
          <w:rFonts w:eastAsia="Times New Roman" w:cs="Times New Roman"/>
          <w:color w:val="000000"/>
        </w:rPr>
        <w:t>“</w:t>
      </w:r>
      <w:r w:rsidRPr="00472C0F">
        <w:rPr>
          <w:rFonts w:eastAsia="Times New Roman" w:cs="Times New Roman"/>
          <w:color w:val="000000"/>
        </w:rPr>
        <w:t>a self-authenticating reality beyond the myriad social cocoons</w:t>
      </w:r>
      <w:r w:rsidR="0063316D">
        <w:rPr>
          <w:rFonts w:eastAsia="Times New Roman" w:cs="Times New Roman"/>
          <w:color w:val="000000"/>
        </w:rPr>
        <w:t>”</w:t>
      </w:r>
      <w:r w:rsidRPr="00472C0F">
        <w:rPr>
          <w:rFonts w:eastAsia="Times New Roman" w:cs="Times New Roman"/>
          <w:color w:val="000000"/>
        </w:rPr>
        <w:t xml:space="preserve"> (Willard</w:t>
      </w:r>
      <w:r w:rsidR="003C21C7">
        <w:rPr>
          <w:rFonts w:eastAsia="Times New Roman" w:cs="Times New Roman"/>
          <w:color w:val="000000"/>
        </w:rPr>
        <w:t>,</w:t>
      </w:r>
      <w:r w:rsidRPr="00472C0F">
        <w:rPr>
          <w:rFonts w:eastAsia="Times New Roman" w:cs="Times New Roman"/>
          <w:color w:val="000000"/>
        </w:rPr>
        <w:t xml:space="preserve"> 2009, p. 146). Christ's reality is therefore neither constituted by institutional recognition nor validated by methodological success. Rather, Christian witness continually receives its own reality from his living presence and action. </w:t>
      </w:r>
      <w:r w:rsidR="003C21C7">
        <w:rPr>
          <w:rFonts w:eastAsia="Times New Roman" w:cs="Times New Roman"/>
          <w:color w:val="000000"/>
        </w:rPr>
        <w:t>What is more important for ministries</w:t>
      </w:r>
      <w:r w:rsidRPr="00472C0F">
        <w:rPr>
          <w:rFonts w:eastAsia="Times New Roman" w:cs="Times New Roman"/>
          <w:color w:val="000000"/>
        </w:rPr>
        <w:t xml:space="preserve"> is not simply confess</w:t>
      </w:r>
      <w:r w:rsidR="003C21C7">
        <w:rPr>
          <w:rFonts w:eastAsia="Times New Roman" w:cs="Times New Roman"/>
          <w:color w:val="000000"/>
        </w:rPr>
        <w:t>ing</w:t>
      </w:r>
      <w:r w:rsidRPr="00472C0F">
        <w:rPr>
          <w:rFonts w:eastAsia="Times New Roman" w:cs="Times New Roman"/>
          <w:color w:val="000000"/>
        </w:rPr>
        <w:t xml:space="preserve"> Christ faithfully but remain</w:t>
      </w:r>
      <w:r w:rsidR="003C21C7">
        <w:rPr>
          <w:rFonts w:eastAsia="Times New Roman" w:cs="Times New Roman"/>
          <w:color w:val="000000"/>
        </w:rPr>
        <w:t>ing</w:t>
      </w:r>
      <w:r w:rsidRPr="00472C0F">
        <w:rPr>
          <w:rFonts w:eastAsia="Times New Roman" w:cs="Times New Roman"/>
          <w:color w:val="000000"/>
        </w:rPr>
        <w:t xml:space="preserve"> practically dependent upon him.</w:t>
      </w:r>
    </w:p>
    <w:p w14:paraId="2FF23FFE" w14:textId="16558AF6" w:rsidR="004D1A36" w:rsidRPr="004D1A36" w:rsidRDefault="004D1A36" w:rsidP="001B68BF">
      <w:pPr>
        <w:ind w:firstLine="360"/>
        <w:outlineLvl w:val="1"/>
        <w:rPr>
          <w:rFonts w:eastAsia="Times New Roman" w:cs="Times New Roman"/>
          <w:color w:val="000000"/>
          <w:kern w:val="0"/>
          <w14:ligatures w14:val="none"/>
        </w:rPr>
      </w:pPr>
      <w:r w:rsidRPr="004D1A36">
        <w:rPr>
          <w:rFonts w:eastAsia="Times New Roman" w:cs="Times New Roman"/>
          <w:color w:val="000000"/>
          <w:kern w:val="0"/>
          <w14:ligatures w14:val="none"/>
        </w:rPr>
        <w:t>When this order is reversed, operational displacement becomes an epistemic inversion. Christ remains the confessed center of Christian witness while practical trust shifts toward the institutional systems, methods, and practices developed in his name. Apologetics increasingly relies upon the cogency of its arguments, evangelism upon the effectiveness of its methods, discipleship upon the quality of its program</w:t>
      </w:r>
      <w:r>
        <w:rPr>
          <w:rFonts w:eastAsia="Times New Roman" w:cs="Times New Roman"/>
          <w:color w:val="000000"/>
          <w:kern w:val="0"/>
          <w14:ligatures w14:val="none"/>
        </w:rPr>
        <w:t>s</w:t>
      </w:r>
      <w:r w:rsidRPr="004D1A36">
        <w:rPr>
          <w:rFonts w:eastAsia="Times New Roman" w:cs="Times New Roman"/>
          <w:color w:val="000000"/>
          <w:kern w:val="0"/>
          <w14:ligatures w14:val="none"/>
        </w:rPr>
        <w:t>, and spiritual formation upon the reliability of its practices. None of these is illegitimate. The distortion arises when confidence gradually rests in these operational logics rather than in Christ himself.</w:t>
      </w:r>
    </w:p>
    <w:p w14:paraId="7EE46B44" w14:textId="77777777" w:rsidR="004D1A36" w:rsidRDefault="004D1A36" w:rsidP="001B68BF">
      <w:pPr>
        <w:ind w:firstLine="360"/>
        <w:outlineLvl w:val="1"/>
        <w:rPr>
          <w:rFonts w:eastAsia="Times New Roman" w:cs="Times New Roman"/>
          <w:color w:val="000000"/>
          <w:kern w:val="0"/>
          <w14:ligatures w14:val="none"/>
        </w:rPr>
      </w:pPr>
      <w:r w:rsidRPr="004D1A36">
        <w:rPr>
          <w:rFonts w:eastAsia="Times New Roman" w:cs="Times New Roman"/>
          <w:color w:val="000000"/>
          <w:kern w:val="0"/>
          <w14:ligatures w14:val="none"/>
        </w:rPr>
        <w:t>The de-Jesus-</w:t>
      </w:r>
      <w:proofErr w:type="spellStart"/>
      <w:r w:rsidRPr="004D1A36">
        <w:rPr>
          <w:rFonts w:eastAsia="Times New Roman" w:cs="Times New Roman"/>
          <w:color w:val="000000"/>
          <w:kern w:val="0"/>
          <w14:ligatures w14:val="none"/>
        </w:rPr>
        <w:t>ing</w:t>
      </w:r>
      <w:proofErr w:type="spellEnd"/>
      <w:r w:rsidRPr="004D1A36">
        <w:rPr>
          <w:rFonts w:eastAsia="Times New Roman" w:cs="Times New Roman"/>
          <w:color w:val="000000"/>
          <w:kern w:val="0"/>
          <w14:ligatures w14:val="none"/>
        </w:rPr>
        <w:t xml:space="preserve"> of mission therefore represents more than institutional fragmentation. Ministries continue to speak truthfully about Jesus while increasingly administering claims about him rather than participating in his continuing agency. The loss is not primarily doctrinal but relational: Christ remains the content of Christian witness while ceasing to function as its operational reality.</w:t>
      </w:r>
    </w:p>
    <w:p w14:paraId="78DB6390" w14:textId="4BC447C4" w:rsidR="00481EA7" w:rsidRPr="00481EA7" w:rsidRDefault="00575383" w:rsidP="001B68BF">
      <w:pPr>
        <w:pStyle w:val="Heading2"/>
        <w:spacing w:before="0" w:beforeAutospacing="0" w:afterAutospacing="0"/>
      </w:pPr>
      <w:r>
        <w:t>Mission’s Acting Subject</w:t>
      </w:r>
    </w:p>
    <w:p w14:paraId="240A8717" w14:textId="428D872F" w:rsidR="00135023" w:rsidRDefault="00135023" w:rsidP="001B68BF">
      <w:pPr>
        <w:rPr>
          <w:color w:val="000000"/>
        </w:rPr>
      </w:pPr>
      <w:r>
        <w:rPr>
          <w:rFonts w:eastAsia="Times New Roman" w:cs="Times New Roman"/>
          <w:color w:val="000000"/>
        </w:rPr>
        <w:t>The preceding discussion has argued that the de-Jesus-</w:t>
      </w:r>
      <w:proofErr w:type="spellStart"/>
      <w:r>
        <w:rPr>
          <w:rFonts w:eastAsia="Times New Roman" w:cs="Times New Roman"/>
          <w:color w:val="000000"/>
        </w:rPr>
        <w:t>ing</w:t>
      </w:r>
      <w:proofErr w:type="spellEnd"/>
      <w:r>
        <w:rPr>
          <w:rFonts w:eastAsia="Times New Roman" w:cs="Times New Roman"/>
          <w:color w:val="000000"/>
        </w:rPr>
        <w:t xml:space="preserve"> of mission is not primarily a matter of doctrinal error but of operational displacement. John Flett's theology of mission reveals why this operational shift is ultimately </w:t>
      </w:r>
      <w:proofErr w:type="spellStart"/>
      <w:r w:rsidR="00C1019B">
        <w:rPr>
          <w:rFonts w:eastAsia="Times New Roman" w:cs="Times New Roman"/>
          <w:color w:val="000000"/>
        </w:rPr>
        <w:t>c</w:t>
      </w:r>
      <w:r>
        <w:rPr>
          <w:rFonts w:eastAsia="Times New Roman" w:cs="Times New Roman"/>
          <w:color w:val="000000"/>
        </w:rPr>
        <w:t>hristological</w:t>
      </w:r>
      <w:proofErr w:type="spellEnd"/>
      <w:r>
        <w:rPr>
          <w:rFonts w:eastAsia="Times New Roman" w:cs="Times New Roman"/>
          <w:color w:val="000000"/>
        </w:rPr>
        <w:t xml:space="preserve">. Flett argues that mission derives neither from the </w:t>
      </w:r>
      <w:r w:rsidR="00807835">
        <w:rPr>
          <w:rFonts w:eastAsia="Times New Roman" w:cs="Times New Roman"/>
          <w:color w:val="000000"/>
        </w:rPr>
        <w:t>C</w:t>
      </w:r>
      <w:r>
        <w:rPr>
          <w:rFonts w:eastAsia="Times New Roman" w:cs="Times New Roman"/>
          <w:color w:val="000000"/>
        </w:rPr>
        <w:t xml:space="preserve">hurch nor from its cultural effectiveness but from the continuing agency of the living Christ. Echoing Karl Hartenstein's dictum, he insists: </w:t>
      </w:r>
      <w:r w:rsidR="00CA48FA">
        <w:rPr>
          <w:rFonts w:eastAsia="Times New Roman" w:cs="Times New Roman"/>
          <w:color w:val="000000"/>
        </w:rPr>
        <w:t>“</w:t>
      </w:r>
      <w:r>
        <w:rPr>
          <w:rFonts w:eastAsia="Times New Roman" w:cs="Times New Roman"/>
          <w:color w:val="000000"/>
        </w:rPr>
        <w:t>Mission stands and falls with the reality and truth of the living Christ, with his word and with his mission. If he is there—and he is there—mission will be there</w:t>
      </w:r>
      <w:r w:rsidR="00CA48FA">
        <w:rPr>
          <w:rFonts w:eastAsia="Times New Roman" w:cs="Times New Roman"/>
          <w:color w:val="000000"/>
        </w:rPr>
        <w:t>”</w:t>
      </w:r>
      <w:r>
        <w:rPr>
          <w:rFonts w:eastAsia="Times New Roman" w:cs="Times New Roman"/>
          <w:color w:val="000000"/>
        </w:rPr>
        <w:t xml:space="preserve"> (Flett</w:t>
      </w:r>
      <w:r w:rsidR="00807835">
        <w:rPr>
          <w:rFonts w:eastAsia="Times New Roman" w:cs="Times New Roman"/>
          <w:color w:val="000000"/>
        </w:rPr>
        <w:t>,</w:t>
      </w:r>
      <w:r>
        <w:rPr>
          <w:rFonts w:eastAsia="Times New Roman" w:cs="Times New Roman"/>
          <w:color w:val="000000"/>
        </w:rPr>
        <w:t xml:space="preserve"> 2010, p. 131, quoting Hartenstein, 1934, p. 217). Flett does not receive Hartenstein’s formula uncritically. He traces how the </w:t>
      </w:r>
      <w:proofErr w:type="spellStart"/>
      <w:r w:rsidRPr="00F97985">
        <w:rPr>
          <w:rFonts w:eastAsia="Times New Roman" w:cs="Times New Roman"/>
          <w:i/>
          <w:iCs/>
          <w:color w:val="000000"/>
        </w:rPr>
        <w:t>missio</w:t>
      </w:r>
      <w:proofErr w:type="spellEnd"/>
      <w:r w:rsidRPr="00F97985">
        <w:rPr>
          <w:rFonts w:eastAsia="Times New Roman" w:cs="Times New Roman"/>
          <w:i/>
          <w:iCs/>
          <w:color w:val="000000"/>
        </w:rPr>
        <w:t xml:space="preserve"> Dei</w:t>
      </w:r>
      <w:r>
        <w:rPr>
          <w:rFonts w:eastAsia="Times New Roman" w:cs="Times New Roman"/>
          <w:color w:val="000000"/>
        </w:rPr>
        <w:t xml:space="preserve"> concept itself first emerged from a negotiated settlement in which Barth’s </w:t>
      </w:r>
      <w:r w:rsidR="00C1019B">
        <w:rPr>
          <w:rFonts w:eastAsia="Times New Roman" w:cs="Times New Roman"/>
          <w:color w:val="000000"/>
        </w:rPr>
        <w:t>t</w:t>
      </w:r>
      <w:r>
        <w:rPr>
          <w:rFonts w:eastAsia="Times New Roman" w:cs="Times New Roman"/>
          <w:color w:val="000000"/>
        </w:rPr>
        <w:t xml:space="preserve">rinitarian dialectic was fused, at Hartenstein’s hands, with a </w:t>
      </w:r>
      <w:proofErr w:type="spellStart"/>
      <w:r w:rsidRPr="00F97985">
        <w:rPr>
          <w:rFonts w:eastAsia="Times New Roman" w:cs="Times New Roman"/>
          <w:i/>
          <w:iCs/>
          <w:color w:val="000000"/>
        </w:rPr>
        <w:t>Volkstum</w:t>
      </w:r>
      <w:proofErr w:type="spellEnd"/>
      <w:r>
        <w:rPr>
          <w:rFonts w:eastAsia="Times New Roman" w:cs="Times New Roman"/>
          <w:color w:val="000000"/>
        </w:rPr>
        <w:t xml:space="preserve"> missiology that made national and racial community co-constitutive of the </w:t>
      </w:r>
      <w:r w:rsidR="00807835">
        <w:rPr>
          <w:rFonts w:eastAsia="Times New Roman" w:cs="Times New Roman"/>
          <w:color w:val="000000"/>
        </w:rPr>
        <w:t>C</w:t>
      </w:r>
      <w:r>
        <w:rPr>
          <w:rFonts w:eastAsia="Times New Roman" w:cs="Times New Roman"/>
          <w:color w:val="000000"/>
        </w:rPr>
        <w:t>hurch alongside confession (Flett</w:t>
      </w:r>
      <w:r w:rsidR="00807835">
        <w:rPr>
          <w:rFonts w:eastAsia="Times New Roman" w:cs="Times New Roman"/>
          <w:color w:val="000000"/>
        </w:rPr>
        <w:t>,</w:t>
      </w:r>
      <w:r>
        <w:rPr>
          <w:rFonts w:eastAsia="Times New Roman" w:cs="Times New Roman"/>
          <w:color w:val="000000"/>
        </w:rPr>
        <w:t xml:space="preserve"> 2010, pp. 80–135). Flett’s own argument recovers the dogmatic core of </w:t>
      </w:r>
      <w:r w:rsidR="00807835">
        <w:rPr>
          <w:rFonts w:eastAsia="Times New Roman" w:cs="Times New Roman"/>
          <w:color w:val="000000"/>
        </w:rPr>
        <w:t>“</w:t>
      </w:r>
      <w:proofErr w:type="spellStart"/>
      <w:r w:rsidR="00807835" w:rsidRPr="00F97985">
        <w:rPr>
          <w:rFonts w:eastAsia="Times New Roman" w:cs="Times New Roman"/>
          <w:i/>
          <w:iCs/>
          <w:color w:val="000000"/>
        </w:rPr>
        <w:t>missio</w:t>
      </w:r>
      <w:proofErr w:type="spellEnd"/>
      <w:r w:rsidR="00807835" w:rsidRPr="00F97985">
        <w:rPr>
          <w:rFonts w:eastAsia="Times New Roman" w:cs="Times New Roman"/>
          <w:i/>
          <w:iCs/>
          <w:color w:val="000000"/>
        </w:rPr>
        <w:t xml:space="preserve"> Dei</w:t>
      </w:r>
      <w:r w:rsidR="00807835">
        <w:rPr>
          <w:rFonts w:eastAsia="Times New Roman" w:cs="Times New Roman"/>
          <w:color w:val="000000"/>
        </w:rPr>
        <w:t>”</w:t>
      </w:r>
      <w:r>
        <w:rPr>
          <w:rFonts w:eastAsia="Times New Roman" w:cs="Times New Roman"/>
          <w:color w:val="000000"/>
        </w:rPr>
        <w:t xml:space="preserve"> by turning it back toward Christ’s agency alone—a theological instance, in miniature, of the very </w:t>
      </w:r>
      <w:proofErr w:type="spellStart"/>
      <w:r w:rsidRPr="00C07995">
        <w:rPr>
          <w:rFonts w:eastAsia="Times New Roman" w:cs="Times New Roman"/>
          <w:i/>
          <w:iCs/>
          <w:color w:val="000000"/>
        </w:rPr>
        <w:t>shub</w:t>
      </w:r>
      <w:proofErr w:type="spellEnd"/>
      <w:r>
        <w:rPr>
          <w:rFonts w:eastAsia="Times New Roman" w:cs="Times New Roman"/>
          <w:color w:val="000000"/>
        </w:rPr>
        <w:t xml:space="preserve"> this article traces at the level of ecclesial practice. Even the </w:t>
      </w:r>
      <w:r w:rsidR="00807835">
        <w:rPr>
          <w:rFonts w:eastAsia="Times New Roman" w:cs="Times New Roman"/>
          <w:color w:val="000000"/>
        </w:rPr>
        <w:t>C</w:t>
      </w:r>
      <w:r>
        <w:rPr>
          <w:rFonts w:eastAsia="Times New Roman" w:cs="Times New Roman"/>
          <w:color w:val="000000"/>
        </w:rPr>
        <w:t xml:space="preserve">hurch’s inherited categories require continuing conversion. Mission is therefore not first an activity the </w:t>
      </w:r>
      <w:r w:rsidR="00807835">
        <w:rPr>
          <w:rFonts w:eastAsia="Times New Roman" w:cs="Times New Roman"/>
          <w:color w:val="000000"/>
        </w:rPr>
        <w:t>C</w:t>
      </w:r>
      <w:r>
        <w:rPr>
          <w:rFonts w:eastAsia="Times New Roman" w:cs="Times New Roman"/>
          <w:color w:val="000000"/>
        </w:rPr>
        <w:t xml:space="preserve">hurch undertakes but the </w:t>
      </w:r>
      <w:r w:rsidR="00807835">
        <w:rPr>
          <w:rFonts w:eastAsia="Times New Roman" w:cs="Times New Roman"/>
          <w:color w:val="000000"/>
        </w:rPr>
        <w:t>C</w:t>
      </w:r>
      <w:r>
        <w:rPr>
          <w:rFonts w:eastAsia="Times New Roman" w:cs="Times New Roman"/>
          <w:color w:val="000000"/>
        </w:rPr>
        <w:t>hurch</w:t>
      </w:r>
      <w:r w:rsidR="00591530">
        <w:rPr>
          <w:rFonts w:eastAsia="Times New Roman" w:cs="Times New Roman"/>
          <w:color w:val="000000"/>
        </w:rPr>
        <w:t>’</w:t>
      </w:r>
      <w:r>
        <w:rPr>
          <w:rFonts w:eastAsia="Times New Roman" w:cs="Times New Roman"/>
          <w:color w:val="000000"/>
        </w:rPr>
        <w:t>s participation in Christ's own mission.</w:t>
      </w:r>
    </w:p>
    <w:p w14:paraId="42ED3BB2" w14:textId="4A87FC80" w:rsidR="00135023" w:rsidRDefault="00135023" w:rsidP="001B68BF">
      <w:pPr>
        <w:ind w:firstLine="360"/>
        <w:rPr>
          <w:color w:val="000000"/>
        </w:rPr>
      </w:pPr>
      <w:r>
        <w:rPr>
          <w:rFonts w:eastAsia="Times New Roman" w:cs="Times New Roman"/>
          <w:color w:val="000000"/>
        </w:rPr>
        <w:t xml:space="preserve">For this reason, Flett warns that when mission becomes grounded in </w:t>
      </w:r>
      <w:r w:rsidR="001F00BC">
        <w:rPr>
          <w:rFonts w:eastAsia="Times New Roman" w:cs="Times New Roman"/>
          <w:color w:val="000000"/>
        </w:rPr>
        <w:t>“</w:t>
      </w:r>
      <w:r>
        <w:rPr>
          <w:rFonts w:eastAsia="Times New Roman" w:cs="Times New Roman"/>
          <w:color w:val="000000"/>
        </w:rPr>
        <w:t>contingent human capacity</w:t>
      </w:r>
      <w:r w:rsidR="001F00BC">
        <w:rPr>
          <w:rFonts w:eastAsia="Times New Roman" w:cs="Times New Roman"/>
          <w:color w:val="000000"/>
        </w:rPr>
        <w:t>”</w:t>
      </w:r>
      <w:r>
        <w:rPr>
          <w:rFonts w:eastAsia="Times New Roman" w:cs="Times New Roman"/>
          <w:color w:val="000000"/>
        </w:rPr>
        <w:t xml:space="preserve"> it inevitably becomes </w:t>
      </w:r>
      <w:r w:rsidR="001F00BC">
        <w:rPr>
          <w:rFonts w:eastAsia="Times New Roman" w:cs="Times New Roman"/>
          <w:color w:val="000000"/>
        </w:rPr>
        <w:t>“</w:t>
      </w:r>
      <w:r>
        <w:rPr>
          <w:rFonts w:eastAsia="Times New Roman" w:cs="Times New Roman"/>
          <w:color w:val="000000"/>
        </w:rPr>
        <w:t>derivative of a preexisting institution, and its necessity relative to the social, cultural, political, and economic capital of that institution</w:t>
      </w:r>
      <w:r w:rsidR="001F00BC">
        <w:rPr>
          <w:rFonts w:eastAsia="Times New Roman" w:cs="Times New Roman"/>
          <w:color w:val="000000"/>
        </w:rPr>
        <w:t>”</w:t>
      </w:r>
      <w:r>
        <w:rPr>
          <w:rFonts w:eastAsia="Times New Roman" w:cs="Times New Roman"/>
          <w:color w:val="000000"/>
        </w:rPr>
        <w:t xml:space="preserve"> (Flett</w:t>
      </w:r>
      <w:r w:rsidR="00807835">
        <w:rPr>
          <w:rFonts w:eastAsia="Times New Roman" w:cs="Times New Roman"/>
          <w:color w:val="000000"/>
        </w:rPr>
        <w:t>,</w:t>
      </w:r>
      <w:r>
        <w:rPr>
          <w:rFonts w:eastAsia="Times New Roman" w:cs="Times New Roman"/>
          <w:color w:val="000000"/>
        </w:rPr>
        <w:t xml:space="preserve"> 2010, p. 225). This </w:t>
      </w:r>
      <w:r w:rsidR="00807835">
        <w:rPr>
          <w:rFonts w:eastAsia="Times New Roman" w:cs="Times New Roman"/>
          <w:color w:val="000000"/>
        </w:rPr>
        <w:t xml:space="preserve">drift into institutional dependency </w:t>
      </w:r>
      <w:r>
        <w:rPr>
          <w:rFonts w:eastAsia="Times New Roman" w:cs="Times New Roman"/>
          <w:color w:val="000000"/>
        </w:rPr>
        <w:t>is precisely the trajectory described in the preceding sections. Walls has shown how operational maps may diverge from conceptual confession; Berger has explained how those maps become socially stabilized through institutional reproduction; Willard has demonstrated how practical reliance shifts from Christ to operational systems. Flett now exposes the theological significance of that progression. Mission has ceased to proceed from Christ as its living subject and has instead become mediated through institutional forms that claim to represent him.</w:t>
      </w:r>
    </w:p>
    <w:p w14:paraId="7D8E883B" w14:textId="5DEE9FF4" w:rsidR="00575E5B" w:rsidRPr="00135023" w:rsidRDefault="00135023" w:rsidP="001B68BF">
      <w:pPr>
        <w:ind w:firstLine="360"/>
        <w:rPr>
          <w:color w:val="000000"/>
        </w:rPr>
      </w:pPr>
      <w:r>
        <w:rPr>
          <w:rFonts w:eastAsia="Times New Roman" w:cs="Times New Roman"/>
          <w:color w:val="000000"/>
        </w:rPr>
        <w:lastRenderedPageBreak/>
        <w:t xml:space="preserve">Operational displacement is therefore not merely an organizational deficiency or an epistemic failure. It is a </w:t>
      </w:r>
      <w:proofErr w:type="spellStart"/>
      <w:r w:rsidR="00C1019B">
        <w:rPr>
          <w:rFonts w:eastAsia="Times New Roman" w:cs="Times New Roman"/>
          <w:color w:val="000000"/>
        </w:rPr>
        <w:t>c</w:t>
      </w:r>
      <w:r>
        <w:rPr>
          <w:rFonts w:eastAsia="Times New Roman" w:cs="Times New Roman"/>
          <w:color w:val="000000"/>
        </w:rPr>
        <w:t>hristological</w:t>
      </w:r>
      <w:proofErr w:type="spellEnd"/>
      <w:r>
        <w:rPr>
          <w:rFonts w:eastAsia="Times New Roman" w:cs="Times New Roman"/>
          <w:color w:val="000000"/>
        </w:rPr>
        <w:t xml:space="preserve"> inversion. Jesus remains the proclaimed object of Christian ministry while no longer functioning as its operative subject. The de-Jesus-</w:t>
      </w:r>
      <w:proofErr w:type="spellStart"/>
      <w:r>
        <w:rPr>
          <w:rFonts w:eastAsia="Times New Roman" w:cs="Times New Roman"/>
          <w:color w:val="000000"/>
        </w:rPr>
        <w:t>ing</w:t>
      </w:r>
      <w:proofErr w:type="spellEnd"/>
      <w:r>
        <w:rPr>
          <w:rFonts w:eastAsia="Times New Roman" w:cs="Times New Roman"/>
          <w:color w:val="000000"/>
        </w:rPr>
        <w:t xml:space="preserve"> of mission is complete precisely at this point. </w:t>
      </w:r>
      <w:r w:rsidR="00575E5B" w:rsidRPr="00575E5B">
        <w:rPr>
          <w:rFonts w:eastAsia="Times New Roman" w:cs="Times New Roman"/>
          <w:color w:val="000000"/>
        </w:rPr>
        <w:t>If the de-Jesus-</w:t>
      </w:r>
      <w:proofErr w:type="spellStart"/>
      <w:r w:rsidR="00575E5B" w:rsidRPr="00575E5B">
        <w:rPr>
          <w:rFonts w:eastAsia="Times New Roman" w:cs="Times New Roman"/>
          <w:color w:val="000000"/>
        </w:rPr>
        <w:t>ing</w:t>
      </w:r>
      <w:proofErr w:type="spellEnd"/>
      <w:r w:rsidR="00575E5B" w:rsidRPr="00575E5B">
        <w:rPr>
          <w:rFonts w:eastAsia="Times New Roman" w:cs="Times New Roman"/>
          <w:color w:val="000000"/>
        </w:rPr>
        <w:t xml:space="preserve"> of mission consists in the operational displacement of Christ</w:t>
      </w:r>
      <w:r w:rsidR="003A2C73">
        <w:rPr>
          <w:rFonts w:eastAsia="Times New Roman" w:cs="Times New Roman"/>
          <w:color w:val="000000"/>
        </w:rPr>
        <w:t>’</w:t>
      </w:r>
      <w:r w:rsidR="00575E5B" w:rsidRPr="00575E5B">
        <w:rPr>
          <w:rFonts w:eastAsia="Times New Roman" w:cs="Times New Roman"/>
          <w:color w:val="000000"/>
        </w:rPr>
        <w:t xml:space="preserve">s agency, its renewal cannot consist merely in institutional reform or methodological refinement. </w:t>
      </w:r>
      <w:r w:rsidR="00807835">
        <w:rPr>
          <w:rFonts w:eastAsia="Times New Roman" w:cs="Times New Roman"/>
          <w:color w:val="000000"/>
        </w:rPr>
        <w:t>Renewal</w:t>
      </w:r>
      <w:r w:rsidR="00575E5B" w:rsidRPr="00575E5B">
        <w:rPr>
          <w:rFonts w:eastAsia="Times New Roman" w:cs="Times New Roman"/>
          <w:color w:val="000000"/>
        </w:rPr>
        <w:t xml:space="preserve"> requires the continual turning of the </w:t>
      </w:r>
      <w:r w:rsidR="00807835">
        <w:rPr>
          <w:rFonts w:eastAsia="Times New Roman" w:cs="Times New Roman"/>
          <w:color w:val="000000"/>
        </w:rPr>
        <w:t>C</w:t>
      </w:r>
      <w:r w:rsidR="00575E5B" w:rsidRPr="00575E5B">
        <w:rPr>
          <w:rFonts w:eastAsia="Times New Roman" w:cs="Times New Roman"/>
          <w:color w:val="000000"/>
        </w:rPr>
        <w:t>hurch</w:t>
      </w:r>
      <w:r w:rsidR="003A2C73">
        <w:rPr>
          <w:rFonts w:eastAsia="Times New Roman" w:cs="Times New Roman"/>
          <w:color w:val="000000"/>
        </w:rPr>
        <w:t>’</w:t>
      </w:r>
      <w:r w:rsidR="00575E5B" w:rsidRPr="00575E5B">
        <w:rPr>
          <w:rFonts w:eastAsia="Times New Roman" w:cs="Times New Roman"/>
          <w:color w:val="000000"/>
        </w:rPr>
        <w:t>s operational life toward Christ himself. It is to this constructive recovery of conversion as the re-</w:t>
      </w:r>
      <w:proofErr w:type="spellStart"/>
      <w:r w:rsidR="00575E5B" w:rsidRPr="00575E5B">
        <w:rPr>
          <w:rFonts w:eastAsia="Times New Roman" w:cs="Times New Roman"/>
          <w:color w:val="000000"/>
        </w:rPr>
        <w:t>agentification</w:t>
      </w:r>
      <w:proofErr w:type="spellEnd"/>
      <w:r w:rsidR="00575E5B" w:rsidRPr="00575E5B">
        <w:rPr>
          <w:rFonts w:eastAsia="Times New Roman" w:cs="Times New Roman"/>
          <w:color w:val="000000"/>
        </w:rPr>
        <w:t xml:space="preserve"> of Jesus Christ that the </w:t>
      </w:r>
      <w:r w:rsidR="00807835">
        <w:rPr>
          <w:rFonts w:eastAsia="Times New Roman" w:cs="Times New Roman"/>
          <w:color w:val="000000"/>
        </w:rPr>
        <w:t>discussion</w:t>
      </w:r>
      <w:r w:rsidR="00807835" w:rsidRPr="00575E5B">
        <w:rPr>
          <w:rFonts w:eastAsia="Times New Roman" w:cs="Times New Roman"/>
          <w:color w:val="000000"/>
        </w:rPr>
        <w:t xml:space="preserve"> </w:t>
      </w:r>
      <w:r w:rsidR="00575E5B" w:rsidRPr="00575E5B">
        <w:rPr>
          <w:rFonts w:eastAsia="Times New Roman" w:cs="Times New Roman"/>
          <w:color w:val="000000"/>
        </w:rPr>
        <w:t>now turns.</w:t>
      </w:r>
    </w:p>
    <w:p w14:paraId="29B79D23" w14:textId="5C78FC0A" w:rsidR="00BE3B05" w:rsidRDefault="00BE3B05" w:rsidP="001B68BF">
      <w:pPr>
        <w:pStyle w:val="Heading1"/>
        <w:spacing w:before="0"/>
        <w:rPr>
          <w:rFonts w:cs="Times New Roman"/>
        </w:rPr>
      </w:pPr>
      <w:r w:rsidRPr="00BE3B05">
        <w:rPr>
          <w:rFonts w:cs="Times New Roman"/>
        </w:rPr>
        <w:t>Constructive Turn: Conversion as Re-</w:t>
      </w:r>
      <w:proofErr w:type="spellStart"/>
      <w:r w:rsidRPr="00BE3B05">
        <w:rPr>
          <w:rFonts w:cs="Times New Roman"/>
        </w:rPr>
        <w:t>Agentification</w:t>
      </w:r>
      <w:proofErr w:type="spellEnd"/>
      <w:r w:rsidR="000F092F">
        <w:rPr>
          <w:rFonts w:cs="Times New Roman"/>
        </w:rPr>
        <w:t xml:space="preserve"> of Jesus Christ</w:t>
      </w:r>
    </w:p>
    <w:p w14:paraId="522DF3F1" w14:textId="2FECA642" w:rsidR="00807835" w:rsidRPr="00807835" w:rsidRDefault="00807835" w:rsidP="00F97985">
      <w:r>
        <w:t>The third movement proposes the Church’s renewal as the re-</w:t>
      </w:r>
      <w:proofErr w:type="spellStart"/>
      <w:r>
        <w:t>agentification</w:t>
      </w:r>
      <w:proofErr w:type="spellEnd"/>
      <w:r>
        <w:t xml:space="preserve"> of Jesus Christ, tracing how the continual turning of </w:t>
      </w:r>
      <w:proofErr w:type="spellStart"/>
      <w:r>
        <w:t>shub</w:t>
      </w:r>
      <w:proofErr w:type="spellEnd"/>
      <w:r>
        <w:t xml:space="preserve"> restores the Church’s ministries to their proper unity in Christ and, finally, to his renewed operative primacy.</w:t>
      </w:r>
    </w:p>
    <w:p w14:paraId="0EC34B07" w14:textId="2869E3D4" w:rsidR="00BE3B05" w:rsidRPr="00BE3B05" w:rsidRDefault="00BE3B05" w:rsidP="001B68BF">
      <w:pPr>
        <w:pStyle w:val="Heading2"/>
        <w:spacing w:before="0" w:beforeAutospacing="0" w:afterAutospacing="0"/>
      </w:pPr>
      <w:r w:rsidRPr="00BE3B05">
        <w:t xml:space="preserve">Shub </w:t>
      </w:r>
      <w:r w:rsidR="00D04B93">
        <w:t>Turns Home</w:t>
      </w:r>
    </w:p>
    <w:p w14:paraId="6B652838" w14:textId="6485CDDA" w:rsidR="00886FFB" w:rsidRDefault="00886FFB" w:rsidP="001B68BF">
      <w:pPr>
        <w:rPr>
          <w:color w:val="000000"/>
        </w:rPr>
      </w:pPr>
      <w:r>
        <w:rPr>
          <w:rFonts w:eastAsia="Times New Roman" w:cs="Times New Roman"/>
          <w:color w:val="000000"/>
        </w:rPr>
        <w:t xml:space="preserve">Walls’s account of conversion offers more than a diagnosis of missionary history; it provides the </w:t>
      </w:r>
      <w:r w:rsidR="00E761B2">
        <w:rPr>
          <w:rFonts w:eastAsia="Times New Roman" w:cs="Times New Roman"/>
          <w:color w:val="000000"/>
        </w:rPr>
        <w:t>C</w:t>
      </w:r>
      <w:r>
        <w:rPr>
          <w:rFonts w:eastAsia="Times New Roman" w:cs="Times New Roman"/>
          <w:color w:val="000000"/>
        </w:rPr>
        <w:t>hurch</w:t>
      </w:r>
      <w:r w:rsidR="000F092F">
        <w:rPr>
          <w:rFonts w:eastAsia="Times New Roman" w:cs="Times New Roman"/>
          <w:color w:val="000000"/>
        </w:rPr>
        <w:t>’</w:t>
      </w:r>
      <w:r>
        <w:rPr>
          <w:rFonts w:eastAsia="Times New Roman" w:cs="Times New Roman"/>
          <w:color w:val="000000"/>
        </w:rPr>
        <w:t>s own pattern of renewal. If</w:t>
      </w:r>
      <w:r>
        <w:rPr>
          <w:rStyle w:val="apple-converted-space"/>
          <w:rFonts w:eastAsia="Times New Roman" w:cs="Times New Roman"/>
          <w:color w:val="000000"/>
        </w:rPr>
        <w:t> </w:t>
      </w:r>
      <w:proofErr w:type="spellStart"/>
      <w:r>
        <w:rPr>
          <w:rStyle w:val="Emphasis"/>
          <w:rFonts w:eastAsia="Times New Roman" w:cs="Times New Roman"/>
          <w:color w:val="000000"/>
        </w:rPr>
        <w:t>shub</w:t>
      </w:r>
      <w:proofErr w:type="spellEnd"/>
      <w:r>
        <w:rPr>
          <w:rStyle w:val="apple-converted-space"/>
          <w:rFonts w:eastAsia="Times New Roman" w:cs="Times New Roman"/>
          <w:color w:val="000000"/>
        </w:rPr>
        <w:t> </w:t>
      </w:r>
      <w:r>
        <w:rPr>
          <w:rFonts w:eastAsia="Times New Roman" w:cs="Times New Roman"/>
          <w:color w:val="000000"/>
        </w:rPr>
        <w:t xml:space="preserve">is the continual turning of what is already present toward Christ, then the </w:t>
      </w:r>
      <w:r w:rsidR="00E761B2">
        <w:rPr>
          <w:rFonts w:eastAsia="Times New Roman" w:cs="Times New Roman"/>
          <w:color w:val="000000"/>
        </w:rPr>
        <w:t>C</w:t>
      </w:r>
      <w:r>
        <w:rPr>
          <w:rFonts w:eastAsia="Times New Roman" w:cs="Times New Roman"/>
          <w:color w:val="000000"/>
        </w:rPr>
        <w:t>hurch</w:t>
      </w:r>
      <w:r w:rsidR="000F092F">
        <w:rPr>
          <w:rFonts w:eastAsia="Times New Roman" w:cs="Times New Roman"/>
          <w:color w:val="000000"/>
        </w:rPr>
        <w:t>’</w:t>
      </w:r>
      <w:r>
        <w:rPr>
          <w:rFonts w:eastAsia="Times New Roman" w:cs="Times New Roman"/>
          <w:color w:val="000000"/>
        </w:rPr>
        <w:t xml:space="preserve">s ministries remain perpetually subject to that same turning. Conversion is not exhausted in the </w:t>
      </w:r>
      <w:r w:rsidR="00E761B2">
        <w:rPr>
          <w:rFonts w:eastAsia="Times New Roman" w:cs="Times New Roman"/>
          <w:color w:val="000000"/>
        </w:rPr>
        <w:t>C</w:t>
      </w:r>
      <w:r>
        <w:rPr>
          <w:rFonts w:eastAsia="Times New Roman" w:cs="Times New Roman"/>
          <w:color w:val="000000"/>
        </w:rPr>
        <w:t>hurch</w:t>
      </w:r>
      <w:r w:rsidR="000F092F">
        <w:rPr>
          <w:rFonts w:eastAsia="Times New Roman" w:cs="Times New Roman"/>
          <w:color w:val="000000"/>
        </w:rPr>
        <w:t>’</w:t>
      </w:r>
      <w:r>
        <w:rPr>
          <w:rFonts w:eastAsia="Times New Roman" w:cs="Times New Roman"/>
          <w:color w:val="000000"/>
        </w:rPr>
        <w:t xml:space="preserve">s first reception of the gospel but continues wherever inherited practices, institutions, and traditions are repeatedly reoriented toward the living Christ. The </w:t>
      </w:r>
      <w:r w:rsidR="00E761B2">
        <w:rPr>
          <w:rFonts w:eastAsia="Times New Roman" w:cs="Times New Roman"/>
          <w:color w:val="000000"/>
        </w:rPr>
        <w:t>C</w:t>
      </w:r>
      <w:r>
        <w:rPr>
          <w:rFonts w:eastAsia="Times New Roman" w:cs="Times New Roman"/>
          <w:color w:val="000000"/>
        </w:rPr>
        <w:t>hurch is therefore not only the agent of</w:t>
      </w:r>
      <w:r>
        <w:rPr>
          <w:rStyle w:val="apple-converted-space"/>
          <w:rFonts w:eastAsia="Times New Roman" w:cs="Times New Roman"/>
          <w:color w:val="000000"/>
        </w:rPr>
        <w:t> </w:t>
      </w:r>
      <w:proofErr w:type="spellStart"/>
      <w:r>
        <w:rPr>
          <w:rStyle w:val="Emphasis"/>
          <w:rFonts w:eastAsia="Times New Roman" w:cs="Times New Roman"/>
          <w:color w:val="000000"/>
        </w:rPr>
        <w:t>shub</w:t>
      </w:r>
      <w:proofErr w:type="spellEnd"/>
      <w:r>
        <w:rPr>
          <w:rFonts w:eastAsia="Times New Roman" w:cs="Times New Roman"/>
          <w:color w:val="000000"/>
        </w:rPr>
        <w:t>; it also remains one of its continual recipients.</w:t>
      </w:r>
    </w:p>
    <w:p w14:paraId="22C4CB94" w14:textId="0A9A41C2" w:rsidR="00886FFB" w:rsidRDefault="00886FFB" w:rsidP="001B68BF">
      <w:pPr>
        <w:ind w:firstLine="360"/>
        <w:rPr>
          <w:color w:val="000000"/>
        </w:rPr>
      </w:pPr>
      <w:r>
        <w:rPr>
          <w:rFonts w:eastAsia="Times New Roman" w:cs="Times New Roman"/>
          <w:color w:val="000000"/>
        </w:rPr>
        <w:t>Walls further observes that Christian conversion unfolds across generations rather than within a single historical moment (Walls</w:t>
      </w:r>
      <w:r w:rsidR="00E761B2">
        <w:rPr>
          <w:rFonts w:eastAsia="Times New Roman" w:cs="Times New Roman"/>
          <w:color w:val="000000"/>
        </w:rPr>
        <w:t>,</w:t>
      </w:r>
      <w:r>
        <w:rPr>
          <w:rFonts w:eastAsia="Times New Roman" w:cs="Times New Roman"/>
          <w:color w:val="000000"/>
        </w:rPr>
        <w:t xml:space="preserve"> 2025, pp. 18, 130). No culture, and therefore no ecclesial tradition, is converted once for all. Every generation receives the </w:t>
      </w:r>
      <w:r w:rsidR="00E761B2">
        <w:rPr>
          <w:rFonts w:eastAsia="Times New Roman" w:cs="Times New Roman"/>
          <w:color w:val="000000"/>
        </w:rPr>
        <w:t>C</w:t>
      </w:r>
      <w:r>
        <w:rPr>
          <w:rFonts w:eastAsia="Times New Roman" w:cs="Times New Roman"/>
          <w:color w:val="000000"/>
        </w:rPr>
        <w:t>hurch</w:t>
      </w:r>
      <w:r w:rsidR="000F092F">
        <w:rPr>
          <w:rFonts w:eastAsia="Times New Roman" w:cs="Times New Roman"/>
          <w:color w:val="000000"/>
        </w:rPr>
        <w:t>’</w:t>
      </w:r>
      <w:r>
        <w:rPr>
          <w:rFonts w:eastAsia="Times New Roman" w:cs="Times New Roman"/>
          <w:color w:val="000000"/>
        </w:rPr>
        <w:t xml:space="preserve">s inherited institutions anew, not as settled achievements to preserve but as realities to be continually turned toward Christ. This continuing conversion also grounds the </w:t>
      </w:r>
      <w:r w:rsidR="00E761B2">
        <w:rPr>
          <w:rFonts w:eastAsia="Times New Roman" w:cs="Times New Roman"/>
          <w:color w:val="000000"/>
        </w:rPr>
        <w:t>C</w:t>
      </w:r>
      <w:r>
        <w:rPr>
          <w:rFonts w:eastAsia="Times New Roman" w:cs="Times New Roman"/>
          <w:color w:val="000000"/>
        </w:rPr>
        <w:t>hurch</w:t>
      </w:r>
      <w:r w:rsidR="000F092F">
        <w:rPr>
          <w:rFonts w:eastAsia="Times New Roman" w:cs="Times New Roman"/>
          <w:color w:val="000000"/>
        </w:rPr>
        <w:t>’</w:t>
      </w:r>
      <w:r>
        <w:rPr>
          <w:rFonts w:eastAsia="Times New Roman" w:cs="Times New Roman"/>
          <w:color w:val="000000"/>
        </w:rPr>
        <w:t xml:space="preserve">s own theological discernment. Faithful reflection is not an autonomous methodological exercise but an expression of the </w:t>
      </w:r>
      <w:r w:rsidR="00E761B2">
        <w:rPr>
          <w:rFonts w:eastAsia="Times New Roman" w:cs="Times New Roman"/>
          <w:color w:val="000000"/>
        </w:rPr>
        <w:t>C</w:t>
      </w:r>
      <w:r>
        <w:rPr>
          <w:rFonts w:eastAsia="Times New Roman" w:cs="Times New Roman"/>
          <w:color w:val="000000"/>
        </w:rPr>
        <w:t>hurch</w:t>
      </w:r>
      <w:r w:rsidR="000F092F">
        <w:rPr>
          <w:rFonts w:eastAsia="Times New Roman" w:cs="Times New Roman"/>
          <w:color w:val="000000"/>
        </w:rPr>
        <w:t>’</w:t>
      </w:r>
      <w:r>
        <w:rPr>
          <w:rFonts w:eastAsia="Times New Roman" w:cs="Times New Roman"/>
          <w:color w:val="000000"/>
        </w:rPr>
        <w:t>s ongoing return to Christ</w:t>
      </w:r>
      <w:r w:rsidR="000F092F">
        <w:rPr>
          <w:rFonts w:eastAsia="Times New Roman" w:cs="Times New Roman"/>
          <w:color w:val="000000"/>
        </w:rPr>
        <w:t>’</w:t>
      </w:r>
      <w:r>
        <w:rPr>
          <w:rFonts w:eastAsia="Times New Roman" w:cs="Times New Roman"/>
          <w:color w:val="000000"/>
        </w:rPr>
        <w:t>s living agency.</w:t>
      </w:r>
    </w:p>
    <w:p w14:paraId="5593BD29" w14:textId="5AD95E88" w:rsidR="00297FF4" w:rsidRDefault="00886FFB" w:rsidP="001B68BF">
      <w:pPr>
        <w:ind w:firstLine="360"/>
        <w:rPr>
          <w:color w:val="000000"/>
        </w:rPr>
      </w:pPr>
      <w:r>
        <w:rPr>
          <w:rFonts w:eastAsia="Times New Roman" w:cs="Times New Roman"/>
          <w:color w:val="000000"/>
        </w:rPr>
        <w:t>This reflexive movement answers the de-Jesus-</w:t>
      </w:r>
      <w:proofErr w:type="spellStart"/>
      <w:r>
        <w:rPr>
          <w:rFonts w:eastAsia="Times New Roman" w:cs="Times New Roman"/>
          <w:color w:val="000000"/>
        </w:rPr>
        <w:t>ing</w:t>
      </w:r>
      <w:proofErr w:type="spellEnd"/>
      <w:r>
        <w:rPr>
          <w:rFonts w:eastAsia="Times New Roman" w:cs="Times New Roman"/>
          <w:color w:val="000000"/>
        </w:rPr>
        <w:t xml:space="preserve"> of mission. Fragmentation arises not because apologetics, evangelism, discipleship, and spiritual formation exist as distinct practices, but because they become capable of reproducing themselves apart from Christ's continuing agency. Their renewal therefore requires neither abandonment nor replacement but continuing conversion. Wherever dependence on Christ’s agency is renewed,</w:t>
      </w:r>
      <w:r>
        <w:rPr>
          <w:rStyle w:val="apple-converted-space"/>
          <w:rFonts w:eastAsia="Times New Roman" w:cs="Times New Roman"/>
          <w:color w:val="000000"/>
        </w:rPr>
        <w:t> </w:t>
      </w:r>
      <w:proofErr w:type="spellStart"/>
      <w:r>
        <w:rPr>
          <w:rStyle w:val="Emphasis"/>
          <w:rFonts w:eastAsia="Times New Roman" w:cs="Times New Roman"/>
          <w:color w:val="000000"/>
        </w:rPr>
        <w:t>shub</w:t>
      </w:r>
      <w:proofErr w:type="spellEnd"/>
      <w:r>
        <w:rPr>
          <w:rStyle w:val="apple-converted-space"/>
          <w:rFonts w:eastAsia="Times New Roman" w:cs="Times New Roman"/>
          <w:color w:val="000000"/>
        </w:rPr>
        <w:t> </w:t>
      </w:r>
      <w:r>
        <w:rPr>
          <w:rFonts w:eastAsia="Times New Roman" w:cs="Times New Roman"/>
          <w:color w:val="000000"/>
        </w:rPr>
        <w:t xml:space="preserve">turns home: The </w:t>
      </w:r>
      <w:r w:rsidR="00E761B2">
        <w:rPr>
          <w:rFonts w:eastAsia="Times New Roman" w:cs="Times New Roman"/>
          <w:color w:val="000000"/>
        </w:rPr>
        <w:t>C</w:t>
      </w:r>
      <w:r>
        <w:rPr>
          <w:rFonts w:eastAsia="Times New Roman" w:cs="Times New Roman"/>
          <w:color w:val="000000"/>
        </w:rPr>
        <w:t>hurch itself undergoes the same conversion it proclaims to the world.</w:t>
      </w:r>
    </w:p>
    <w:p w14:paraId="46AC9714" w14:textId="600C63F1" w:rsidR="00BE3B05" w:rsidRPr="00BE3B05" w:rsidRDefault="00B41C15" w:rsidP="001B68BF">
      <w:pPr>
        <w:pStyle w:val="Heading2"/>
        <w:spacing w:before="0" w:beforeAutospacing="0" w:afterAutospacing="0"/>
      </w:pPr>
      <w:r>
        <w:t>One Christ, Four Participations</w:t>
      </w:r>
    </w:p>
    <w:p w14:paraId="25A057FC" w14:textId="77777777" w:rsidR="00BF7313" w:rsidRDefault="00BF7313" w:rsidP="001B68BF">
      <w:pPr>
        <w:rPr>
          <w:color w:val="000000"/>
        </w:rPr>
      </w:pPr>
      <w:r>
        <w:rPr>
          <w:rFonts w:eastAsia="Times New Roman" w:cs="Times New Roman"/>
          <w:color w:val="000000"/>
        </w:rPr>
        <w:t>If Christ once again becomes the operative subject of Christian witness, the ministries of apologetics, evangelism, discipleship, and spiritual formation do not disappear; they recover their proper relation to one another. Their unity is not achieved by structural integration or methodological coordination but by their common participation in Christ's continuing agency. Each retains its distinct vocation precisely because each participates in a different aspect of the one mission of Christ. Diversity therefore ceases to be fragmentation whenever Christ remains the living subject from whom every ministry continually receives its direction and life.</w:t>
      </w:r>
    </w:p>
    <w:p w14:paraId="135C1553" w14:textId="1FB53C02" w:rsidR="00BF7313" w:rsidRDefault="00BF7313" w:rsidP="001B68BF">
      <w:pPr>
        <w:ind w:firstLine="360"/>
        <w:rPr>
          <w:color w:val="000000"/>
        </w:rPr>
      </w:pPr>
      <w:r>
        <w:rPr>
          <w:rFonts w:eastAsia="Times New Roman" w:cs="Times New Roman"/>
          <w:color w:val="000000"/>
        </w:rPr>
        <w:lastRenderedPageBreak/>
        <w:t>Apologetics, evangelism, discipleship, and spiritual formation are consequently renewed not by acquiring new methods but by recovering their proper dependence upon Christ. Apologetics removes obstacles to knowing Christ as reality. Evangelism participates in Christ</w:t>
      </w:r>
      <w:r w:rsidR="002B2EAC">
        <w:rPr>
          <w:rFonts w:eastAsia="Times New Roman" w:cs="Times New Roman"/>
          <w:color w:val="000000"/>
        </w:rPr>
        <w:t>’</w:t>
      </w:r>
      <w:r>
        <w:rPr>
          <w:rFonts w:eastAsia="Times New Roman" w:cs="Times New Roman"/>
          <w:color w:val="000000"/>
        </w:rPr>
        <w:t>s continuing summons to repentance and faith. Discipleship accompanies Christ</w:t>
      </w:r>
      <w:r w:rsidR="002B2EAC">
        <w:rPr>
          <w:rFonts w:eastAsia="Times New Roman" w:cs="Times New Roman"/>
          <w:color w:val="000000"/>
        </w:rPr>
        <w:t>’</w:t>
      </w:r>
      <w:r>
        <w:rPr>
          <w:rFonts w:eastAsia="Times New Roman" w:cs="Times New Roman"/>
          <w:color w:val="000000"/>
        </w:rPr>
        <w:t>s continuing work of conforming his people to himself. Spiritual formation cultivates responsive life with the risen Christ through the Spirit. Their practices remain irreducibly distinct, yet each continually receives its coherence from the same living Lord.</w:t>
      </w:r>
    </w:p>
    <w:p w14:paraId="332B250C" w14:textId="5662FAE7" w:rsidR="00BE3B05" w:rsidRPr="00BE3B05" w:rsidRDefault="00807464" w:rsidP="001B68BF">
      <w:pPr>
        <w:pStyle w:val="Heading2"/>
        <w:spacing w:before="0" w:beforeAutospacing="0" w:afterAutospacing="0"/>
      </w:pPr>
      <w:r w:rsidRPr="00807464">
        <w:t>Re-</w:t>
      </w:r>
      <w:proofErr w:type="spellStart"/>
      <w:r w:rsidRPr="00807464">
        <w:t>Agentification</w:t>
      </w:r>
      <w:proofErr w:type="spellEnd"/>
      <w:r w:rsidRPr="00807464">
        <w:t xml:space="preserve"> as the Fruit of Shub</w:t>
      </w:r>
    </w:p>
    <w:p w14:paraId="4A8F34E2" w14:textId="238E556B" w:rsidR="000F2200" w:rsidRDefault="00747A1F" w:rsidP="001B68BF">
      <w:pPr>
        <w:rPr>
          <w:color w:val="000000"/>
        </w:rPr>
      </w:pPr>
      <w:r w:rsidRPr="00747A1F">
        <w:rPr>
          <w:rFonts w:eastAsia="Times New Roman" w:cs="Times New Roman"/>
          <w:color w:val="000000"/>
        </w:rPr>
        <w:t>Re-</w:t>
      </w:r>
      <w:proofErr w:type="spellStart"/>
      <w:r w:rsidRPr="00747A1F">
        <w:rPr>
          <w:rFonts w:eastAsia="Times New Roman" w:cs="Times New Roman"/>
          <w:color w:val="000000"/>
        </w:rPr>
        <w:t>agentification</w:t>
      </w:r>
      <w:proofErr w:type="spellEnd"/>
      <w:r w:rsidRPr="00747A1F">
        <w:rPr>
          <w:rFonts w:eastAsia="Times New Roman" w:cs="Times New Roman"/>
          <w:color w:val="000000"/>
        </w:rPr>
        <w:t xml:space="preserve"> names the recovery of Christ</w:t>
      </w:r>
      <w:r w:rsidR="002E766D">
        <w:rPr>
          <w:rFonts w:eastAsia="Times New Roman" w:cs="Times New Roman"/>
          <w:color w:val="000000"/>
        </w:rPr>
        <w:t>’</w:t>
      </w:r>
      <w:r w:rsidRPr="00747A1F">
        <w:rPr>
          <w:rFonts w:eastAsia="Times New Roman" w:cs="Times New Roman"/>
          <w:color w:val="000000"/>
        </w:rPr>
        <w:t>s operative primacy as the answer to the de-Jesus-</w:t>
      </w:r>
      <w:proofErr w:type="spellStart"/>
      <w:r w:rsidRPr="00747A1F">
        <w:rPr>
          <w:rFonts w:eastAsia="Times New Roman" w:cs="Times New Roman"/>
          <w:color w:val="000000"/>
        </w:rPr>
        <w:t>ing</w:t>
      </w:r>
      <w:proofErr w:type="spellEnd"/>
      <w:r w:rsidRPr="00747A1F">
        <w:rPr>
          <w:rFonts w:eastAsia="Times New Roman" w:cs="Times New Roman"/>
          <w:color w:val="000000"/>
        </w:rPr>
        <w:t xml:space="preserve"> of mission.</w:t>
      </w:r>
      <w:r>
        <w:rPr>
          <w:rFonts w:eastAsia="Times New Roman" w:cs="Times New Roman"/>
          <w:color w:val="000000"/>
        </w:rPr>
        <w:t xml:space="preserve"> </w:t>
      </w:r>
      <w:r w:rsidR="000F2200">
        <w:rPr>
          <w:rFonts w:eastAsia="Times New Roman" w:cs="Times New Roman"/>
          <w:color w:val="000000"/>
        </w:rPr>
        <w:t>If the de-Jesus-</w:t>
      </w:r>
      <w:proofErr w:type="spellStart"/>
      <w:r w:rsidR="000F2200">
        <w:rPr>
          <w:rFonts w:eastAsia="Times New Roman" w:cs="Times New Roman"/>
          <w:color w:val="000000"/>
        </w:rPr>
        <w:t>ing</w:t>
      </w:r>
      <w:proofErr w:type="spellEnd"/>
      <w:r w:rsidR="000F2200">
        <w:rPr>
          <w:rFonts w:eastAsia="Times New Roman" w:cs="Times New Roman"/>
          <w:color w:val="000000"/>
        </w:rPr>
        <w:t xml:space="preserve"> is the operational displacement of Christ</w:t>
      </w:r>
      <w:r w:rsidR="002E766D">
        <w:rPr>
          <w:rFonts w:eastAsia="Times New Roman" w:cs="Times New Roman"/>
          <w:color w:val="000000"/>
        </w:rPr>
        <w:t>’</w:t>
      </w:r>
      <w:r w:rsidR="000F2200">
        <w:rPr>
          <w:rFonts w:eastAsia="Times New Roman" w:cs="Times New Roman"/>
          <w:color w:val="000000"/>
        </w:rPr>
        <w:t>s continuing agency, re-</w:t>
      </w:r>
      <w:proofErr w:type="spellStart"/>
      <w:r w:rsidR="000F2200">
        <w:rPr>
          <w:rFonts w:eastAsia="Times New Roman" w:cs="Times New Roman"/>
          <w:color w:val="000000"/>
        </w:rPr>
        <w:t>agentification</w:t>
      </w:r>
      <w:proofErr w:type="spellEnd"/>
      <w:r w:rsidR="000F2200">
        <w:rPr>
          <w:rFonts w:eastAsia="Times New Roman" w:cs="Times New Roman"/>
          <w:color w:val="000000"/>
        </w:rPr>
        <w:t xml:space="preserve"> is </w:t>
      </w:r>
      <w:r w:rsidR="00C26829" w:rsidRPr="00C26829">
        <w:rPr>
          <w:rFonts w:eastAsia="Times New Roman" w:cs="Times New Roman"/>
          <w:color w:val="000000"/>
        </w:rPr>
        <w:t xml:space="preserve">the restoration of the </w:t>
      </w:r>
      <w:r w:rsidR="00E761B2">
        <w:rPr>
          <w:rFonts w:eastAsia="Times New Roman" w:cs="Times New Roman"/>
          <w:color w:val="000000"/>
        </w:rPr>
        <w:t>C</w:t>
      </w:r>
      <w:r w:rsidR="00C26829" w:rsidRPr="00C26829">
        <w:rPr>
          <w:rFonts w:eastAsia="Times New Roman" w:cs="Times New Roman"/>
          <w:color w:val="000000"/>
        </w:rPr>
        <w:t>hurch</w:t>
      </w:r>
      <w:r w:rsidR="00E66F9A">
        <w:rPr>
          <w:rFonts w:eastAsia="Times New Roman" w:cs="Times New Roman"/>
          <w:color w:val="000000"/>
        </w:rPr>
        <w:t>’</w:t>
      </w:r>
      <w:r w:rsidR="00C26829" w:rsidRPr="00C26829">
        <w:rPr>
          <w:rFonts w:eastAsia="Times New Roman" w:cs="Times New Roman"/>
          <w:color w:val="000000"/>
        </w:rPr>
        <w:t>s practical participation in the continuing agency of Christ</w:t>
      </w:r>
      <w:r w:rsidR="000F2200">
        <w:rPr>
          <w:rFonts w:eastAsia="Times New Roman" w:cs="Times New Roman"/>
          <w:color w:val="000000"/>
        </w:rPr>
        <w:t xml:space="preserve">. </w:t>
      </w:r>
      <w:r w:rsidR="00E761B2">
        <w:rPr>
          <w:rFonts w:eastAsia="Times New Roman" w:cs="Times New Roman"/>
          <w:color w:val="000000"/>
        </w:rPr>
        <w:t>That restoration</w:t>
      </w:r>
      <w:r w:rsidR="000F2200">
        <w:rPr>
          <w:rFonts w:eastAsia="Times New Roman" w:cs="Times New Roman"/>
          <w:color w:val="000000"/>
        </w:rPr>
        <w:t xml:space="preserve"> does not introduce a new ministry, nor does it propose a comprehensive framework by which existing ministries might be coordinated. It describes what occurs whenever the </w:t>
      </w:r>
      <w:r w:rsidR="00E761B2">
        <w:rPr>
          <w:rFonts w:eastAsia="Times New Roman" w:cs="Times New Roman"/>
          <w:color w:val="000000"/>
        </w:rPr>
        <w:t>C</w:t>
      </w:r>
      <w:r w:rsidR="000F2200">
        <w:rPr>
          <w:rFonts w:eastAsia="Times New Roman" w:cs="Times New Roman"/>
          <w:color w:val="000000"/>
        </w:rPr>
        <w:t>hurch's continuing</w:t>
      </w:r>
      <w:r w:rsidR="000F2200">
        <w:rPr>
          <w:rStyle w:val="apple-converted-space"/>
          <w:rFonts w:eastAsia="Times New Roman" w:cs="Times New Roman"/>
          <w:color w:val="000000"/>
        </w:rPr>
        <w:t> </w:t>
      </w:r>
      <w:proofErr w:type="spellStart"/>
      <w:r w:rsidR="000F2200">
        <w:rPr>
          <w:rStyle w:val="Emphasis"/>
          <w:rFonts w:eastAsia="Times New Roman" w:cs="Times New Roman"/>
          <w:color w:val="000000"/>
        </w:rPr>
        <w:t>shub</w:t>
      </w:r>
      <w:proofErr w:type="spellEnd"/>
      <w:r w:rsidR="000F2200">
        <w:rPr>
          <w:rStyle w:val="apple-converted-space"/>
          <w:rFonts w:eastAsia="Times New Roman" w:cs="Times New Roman"/>
          <w:color w:val="000000"/>
        </w:rPr>
        <w:t> </w:t>
      </w:r>
      <w:r w:rsidR="000F2200">
        <w:rPr>
          <w:rFonts w:eastAsia="Times New Roman" w:cs="Times New Roman"/>
          <w:color w:val="000000"/>
        </w:rPr>
        <w:t>restores Christ to his operative primacy.</w:t>
      </w:r>
    </w:p>
    <w:p w14:paraId="72ECA322" w14:textId="24B49CD5" w:rsidR="000F2200" w:rsidRDefault="000F2200" w:rsidP="001B68BF">
      <w:pPr>
        <w:ind w:firstLine="360"/>
        <w:rPr>
          <w:color w:val="000000"/>
        </w:rPr>
      </w:pPr>
      <w:r>
        <w:rPr>
          <w:rFonts w:eastAsia="Times New Roman" w:cs="Times New Roman"/>
          <w:color w:val="000000"/>
        </w:rPr>
        <w:t xml:space="preserve">This </w:t>
      </w:r>
      <w:r w:rsidR="00E761B2">
        <w:rPr>
          <w:rFonts w:eastAsia="Times New Roman" w:cs="Times New Roman"/>
          <w:color w:val="000000"/>
        </w:rPr>
        <w:t>“re-Jesus-</w:t>
      </w:r>
      <w:proofErr w:type="spellStart"/>
      <w:r w:rsidR="00E761B2">
        <w:rPr>
          <w:rFonts w:eastAsia="Times New Roman" w:cs="Times New Roman"/>
          <w:color w:val="000000"/>
        </w:rPr>
        <w:t>ing</w:t>
      </w:r>
      <w:proofErr w:type="spellEnd"/>
      <w:r w:rsidR="00E761B2">
        <w:rPr>
          <w:rFonts w:eastAsia="Times New Roman" w:cs="Times New Roman"/>
          <w:color w:val="000000"/>
        </w:rPr>
        <w:t xml:space="preserve">” </w:t>
      </w:r>
      <w:r>
        <w:rPr>
          <w:rFonts w:eastAsia="Times New Roman" w:cs="Times New Roman"/>
          <w:color w:val="000000"/>
        </w:rPr>
        <w:t xml:space="preserve">is neither episodic nor complete. Because every generation inherits institutions, practices, and traditions, every generation must also submit them anew to conversion toward Christ. The </w:t>
      </w:r>
      <w:r w:rsidR="00E761B2">
        <w:rPr>
          <w:rFonts w:eastAsia="Times New Roman" w:cs="Times New Roman"/>
          <w:color w:val="000000"/>
        </w:rPr>
        <w:t>C</w:t>
      </w:r>
      <w:r>
        <w:rPr>
          <w:rFonts w:eastAsia="Times New Roman" w:cs="Times New Roman"/>
          <w:color w:val="000000"/>
        </w:rPr>
        <w:t>hurch therefore remains not only the bearer of mission but one of mission</w:t>
      </w:r>
      <w:r w:rsidR="00345B5F">
        <w:rPr>
          <w:rFonts w:eastAsia="Times New Roman" w:cs="Times New Roman"/>
          <w:color w:val="000000"/>
        </w:rPr>
        <w:t>’</w:t>
      </w:r>
      <w:r>
        <w:rPr>
          <w:rFonts w:eastAsia="Times New Roman" w:cs="Times New Roman"/>
          <w:color w:val="000000"/>
        </w:rPr>
        <w:t>s continual recipients. Re-</w:t>
      </w:r>
      <w:proofErr w:type="spellStart"/>
      <w:r>
        <w:rPr>
          <w:rFonts w:eastAsia="Times New Roman" w:cs="Times New Roman"/>
          <w:color w:val="000000"/>
        </w:rPr>
        <w:t>agentification</w:t>
      </w:r>
      <w:proofErr w:type="spellEnd"/>
      <w:r>
        <w:rPr>
          <w:rFonts w:eastAsia="Times New Roman" w:cs="Times New Roman"/>
          <w:color w:val="000000"/>
        </w:rPr>
        <w:t xml:space="preserve"> is simply the contemporary name for that continuing ecclesial conversion.</w:t>
      </w:r>
    </w:p>
    <w:p w14:paraId="7B3B31CE" w14:textId="3FF153B2" w:rsidR="000F2200" w:rsidRDefault="000F2200" w:rsidP="001B68BF">
      <w:pPr>
        <w:ind w:firstLine="360"/>
        <w:rPr>
          <w:color w:val="000000"/>
        </w:rPr>
      </w:pPr>
      <w:r>
        <w:rPr>
          <w:rFonts w:eastAsia="Times New Roman" w:cs="Times New Roman"/>
          <w:color w:val="000000"/>
        </w:rPr>
        <w:t>The de-Jesus-</w:t>
      </w:r>
      <w:proofErr w:type="spellStart"/>
      <w:r>
        <w:rPr>
          <w:rFonts w:eastAsia="Times New Roman" w:cs="Times New Roman"/>
          <w:color w:val="000000"/>
        </w:rPr>
        <w:t>ing</w:t>
      </w:r>
      <w:proofErr w:type="spellEnd"/>
      <w:r>
        <w:rPr>
          <w:rFonts w:eastAsia="Times New Roman" w:cs="Times New Roman"/>
          <w:color w:val="000000"/>
        </w:rPr>
        <w:t xml:space="preserve"> of mission is overcome not when the </w:t>
      </w:r>
      <w:r w:rsidR="00E761B2">
        <w:rPr>
          <w:rFonts w:eastAsia="Times New Roman" w:cs="Times New Roman"/>
          <w:color w:val="000000"/>
        </w:rPr>
        <w:t>C</w:t>
      </w:r>
      <w:r>
        <w:rPr>
          <w:rFonts w:eastAsia="Times New Roman" w:cs="Times New Roman"/>
          <w:color w:val="000000"/>
        </w:rPr>
        <w:t xml:space="preserve">hurch becomes less </w:t>
      </w:r>
      <w:r w:rsidR="00345B5F">
        <w:rPr>
          <w:rFonts w:eastAsia="Times New Roman" w:cs="Times New Roman"/>
          <w:color w:val="000000"/>
        </w:rPr>
        <w:t>diverse,</w:t>
      </w:r>
      <w:r>
        <w:rPr>
          <w:rFonts w:eastAsia="Times New Roman" w:cs="Times New Roman"/>
          <w:color w:val="000000"/>
        </w:rPr>
        <w:t xml:space="preserve"> but when its diversity once again participates in the continuing agency of the risen Christ. Institutions remain; ministries remain; traditions remain. What changes is their operative </w:t>
      </w:r>
      <w:r w:rsidR="00345B5F">
        <w:rPr>
          <w:rFonts w:eastAsia="Times New Roman" w:cs="Times New Roman"/>
          <w:color w:val="000000"/>
        </w:rPr>
        <w:t>center</w:t>
      </w:r>
      <w:r>
        <w:rPr>
          <w:rFonts w:eastAsia="Times New Roman" w:cs="Times New Roman"/>
          <w:color w:val="000000"/>
        </w:rPr>
        <w:t xml:space="preserve">. Christian witness becomes coherent again because </w:t>
      </w:r>
      <w:r w:rsidR="00345B5F">
        <w:rPr>
          <w:rFonts w:eastAsia="Times New Roman" w:cs="Times New Roman"/>
          <w:color w:val="000000"/>
        </w:rPr>
        <w:t xml:space="preserve">Jesus </w:t>
      </w:r>
      <w:r>
        <w:rPr>
          <w:rFonts w:eastAsia="Times New Roman" w:cs="Times New Roman"/>
          <w:color w:val="000000"/>
        </w:rPr>
        <w:t>Christ once more functions not merely as its confessed object but as its living subject.</w:t>
      </w:r>
    </w:p>
    <w:p w14:paraId="0745B157" w14:textId="2824B5F9" w:rsidR="00E761B2" w:rsidRDefault="00BE3B05" w:rsidP="00E761B2">
      <w:pPr>
        <w:pStyle w:val="Heading1"/>
        <w:spacing w:before="0"/>
        <w:rPr>
          <w:rFonts w:cs="Times New Roman"/>
        </w:rPr>
      </w:pPr>
      <w:r w:rsidRPr="00BE3B05">
        <w:rPr>
          <w:rFonts w:cs="Times New Roman"/>
        </w:rPr>
        <w:t>Missiological Implications</w:t>
      </w:r>
      <w:r w:rsidR="00AA531A">
        <w:rPr>
          <w:rFonts w:cs="Times New Roman"/>
        </w:rPr>
        <w:t xml:space="preserve"> and Conclusion</w:t>
      </w:r>
    </w:p>
    <w:p w14:paraId="49366C9B" w14:textId="16CC30D6" w:rsidR="00BE3B05" w:rsidRPr="00E761B2" w:rsidRDefault="00E761B2" w:rsidP="00E761B2">
      <w:pPr>
        <w:pStyle w:val="Heading1"/>
        <w:spacing w:before="0"/>
        <w:rPr>
          <w:b w:val="0"/>
          <w:bCs/>
        </w:rPr>
      </w:pPr>
      <w:r w:rsidRPr="00E761B2">
        <w:rPr>
          <w:b w:val="0"/>
          <w:bCs/>
        </w:rPr>
        <w:t>Having traced the de-Jesus-</w:t>
      </w:r>
      <w:proofErr w:type="spellStart"/>
      <w:r w:rsidRPr="00E761B2">
        <w:rPr>
          <w:b w:val="0"/>
          <w:bCs/>
        </w:rPr>
        <w:t>ing</w:t>
      </w:r>
      <w:proofErr w:type="spellEnd"/>
      <w:r w:rsidRPr="00E761B2">
        <w:rPr>
          <w:b w:val="0"/>
          <w:bCs/>
        </w:rPr>
        <w:t xml:space="preserve"> of mission through diagnosis, mechanism, and remedy, the article closes by drawing out its implications for the task of missiology before concluding.</w:t>
      </w:r>
    </w:p>
    <w:p w14:paraId="47F15EAF" w14:textId="5E06D788" w:rsidR="00BE3B05" w:rsidRPr="00BE3B05" w:rsidRDefault="00AA531A" w:rsidP="001B68BF">
      <w:pPr>
        <w:pStyle w:val="Heading2"/>
        <w:spacing w:before="0" w:beforeAutospacing="0" w:afterAutospacing="0"/>
      </w:pPr>
      <w:r w:rsidRPr="00AA531A">
        <w:t>The De-Jesus-</w:t>
      </w:r>
      <w:proofErr w:type="spellStart"/>
      <w:r w:rsidRPr="00AA531A">
        <w:t>ing</w:t>
      </w:r>
      <w:proofErr w:type="spellEnd"/>
      <w:r w:rsidRPr="00AA531A">
        <w:t xml:space="preserve"> of Mission and the Task of Missiology</w:t>
      </w:r>
    </w:p>
    <w:p w14:paraId="7406B8E6" w14:textId="1A8CD9DC" w:rsidR="00A54E5F" w:rsidRDefault="00A54E5F" w:rsidP="001B68BF">
      <w:pPr>
        <w:rPr>
          <w:color w:val="000000"/>
        </w:rPr>
      </w:pPr>
      <w:r>
        <w:rPr>
          <w:rFonts w:eastAsia="Times New Roman" w:cs="Times New Roman"/>
          <w:color w:val="000000"/>
        </w:rPr>
        <w:t>Th</w:t>
      </w:r>
      <w:r w:rsidR="00CC46E1">
        <w:rPr>
          <w:rFonts w:eastAsia="Times New Roman" w:cs="Times New Roman"/>
          <w:color w:val="000000"/>
        </w:rPr>
        <w:t>is article’s</w:t>
      </w:r>
      <w:r>
        <w:rPr>
          <w:rFonts w:eastAsia="Times New Roman" w:cs="Times New Roman"/>
          <w:color w:val="000000"/>
        </w:rPr>
        <w:t xml:space="preserve"> argument invites a reconsideration of missiology's primary task. Contemporary discussions </w:t>
      </w:r>
      <w:r w:rsidR="004B6D5E">
        <w:rPr>
          <w:rFonts w:eastAsia="Times New Roman" w:cs="Times New Roman"/>
          <w:color w:val="000000"/>
        </w:rPr>
        <w:t>on</w:t>
      </w:r>
      <w:r>
        <w:rPr>
          <w:rFonts w:eastAsia="Times New Roman" w:cs="Times New Roman"/>
          <w:color w:val="000000"/>
        </w:rPr>
        <w:t xml:space="preserve"> </w:t>
      </w:r>
      <w:r w:rsidR="004B6D5E">
        <w:rPr>
          <w:rFonts w:eastAsia="Times New Roman" w:cs="Times New Roman"/>
          <w:color w:val="000000"/>
        </w:rPr>
        <w:t xml:space="preserve">the challenges of </w:t>
      </w:r>
      <w:r>
        <w:rPr>
          <w:rFonts w:eastAsia="Times New Roman" w:cs="Times New Roman"/>
          <w:color w:val="000000"/>
        </w:rPr>
        <w:t>secularization, contextualization, ecclesial decline, and cultural translation become properly intelligible only when viewed through a prior question</w:t>
      </w:r>
      <w:r w:rsidR="007418E7">
        <w:rPr>
          <w:rFonts w:eastAsia="Times New Roman" w:cs="Times New Roman"/>
          <w:color w:val="000000"/>
        </w:rPr>
        <w:t xml:space="preserve"> of agency</w:t>
      </w:r>
      <w:r>
        <w:rPr>
          <w:rFonts w:eastAsia="Times New Roman" w:cs="Times New Roman"/>
          <w:color w:val="000000"/>
        </w:rPr>
        <w:t xml:space="preserve">: </w:t>
      </w:r>
      <w:r w:rsidR="00E761B2">
        <w:rPr>
          <w:rFonts w:eastAsia="Times New Roman" w:cs="Times New Roman"/>
          <w:color w:val="000000"/>
        </w:rPr>
        <w:t>D</w:t>
      </w:r>
      <w:r>
        <w:rPr>
          <w:rFonts w:eastAsia="Times New Roman" w:cs="Times New Roman"/>
          <w:color w:val="000000"/>
        </w:rPr>
        <w:t>oes Christian witness continue to proceed from the living agency of Jesus Christ?</w:t>
      </w:r>
    </w:p>
    <w:p w14:paraId="40F043D8" w14:textId="288E9B4C" w:rsidR="00A54E5F" w:rsidRDefault="00A54E5F" w:rsidP="001B68BF">
      <w:pPr>
        <w:ind w:firstLine="360"/>
        <w:rPr>
          <w:color w:val="000000"/>
        </w:rPr>
      </w:pPr>
      <w:r>
        <w:rPr>
          <w:rFonts w:eastAsia="Times New Roman" w:cs="Times New Roman"/>
          <w:color w:val="000000"/>
        </w:rPr>
        <w:t>The de-Jesus-</w:t>
      </w:r>
      <w:proofErr w:type="spellStart"/>
      <w:r>
        <w:rPr>
          <w:rFonts w:eastAsia="Times New Roman" w:cs="Times New Roman"/>
          <w:color w:val="000000"/>
        </w:rPr>
        <w:t>ing</w:t>
      </w:r>
      <w:proofErr w:type="spellEnd"/>
      <w:r>
        <w:rPr>
          <w:rFonts w:eastAsia="Times New Roman" w:cs="Times New Roman"/>
          <w:color w:val="000000"/>
        </w:rPr>
        <w:t xml:space="preserve"> of mission identifies a distortion that conventional missiological categories often overlook. The problem is not the emergence of specialized ministries nor the differentiation of Christian practices. Throughout its history the </w:t>
      </w:r>
      <w:r w:rsidR="00E761B2">
        <w:rPr>
          <w:rFonts w:eastAsia="Times New Roman" w:cs="Times New Roman"/>
          <w:color w:val="000000"/>
        </w:rPr>
        <w:t>C</w:t>
      </w:r>
      <w:r>
        <w:rPr>
          <w:rFonts w:eastAsia="Times New Roman" w:cs="Times New Roman"/>
          <w:color w:val="000000"/>
        </w:rPr>
        <w:t>hurch has continually generated new forms of witness as the gospel entered new cultures. The decisive question is whether these forms remain participations in Christ</w:t>
      </w:r>
      <w:r w:rsidR="00446AC4">
        <w:rPr>
          <w:rFonts w:eastAsia="Times New Roman" w:cs="Times New Roman"/>
          <w:color w:val="000000"/>
        </w:rPr>
        <w:t>’</w:t>
      </w:r>
      <w:r>
        <w:rPr>
          <w:rFonts w:eastAsia="Times New Roman" w:cs="Times New Roman"/>
          <w:color w:val="000000"/>
        </w:rPr>
        <w:t>s continuing mission or gradually become self-reproducing institutional worlds whose operative logic no longer depends upon his present agency.</w:t>
      </w:r>
    </w:p>
    <w:p w14:paraId="282A9AE8" w14:textId="77777777" w:rsidR="00997F8A" w:rsidRDefault="00A54E5F" w:rsidP="001B68BF">
      <w:pPr>
        <w:ind w:firstLine="360"/>
        <w:rPr>
          <w:rFonts w:eastAsia="Times New Roman" w:cs="Times New Roman"/>
          <w:color w:val="000000"/>
        </w:rPr>
      </w:pPr>
      <w:r>
        <w:rPr>
          <w:rFonts w:eastAsia="Times New Roman" w:cs="Times New Roman"/>
          <w:color w:val="000000"/>
        </w:rPr>
        <w:t xml:space="preserve">This </w:t>
      </w:r>
      <w:r w:rsidR="00E761B2">
        <w:rPr>
          <w:rFonts w:eastAsia="Times New Roman" w:cs="Times New Roman"/>
          <w:color w:val="000000"/>
        </w:rPr>
        <w:t xml:space="preserve">question </w:t>
      </w:r>
      <w:r>
        <w:rPr>
          <w:rFonts w:eastAsia="Times New Roman" w:cs="Times New Roman"/>
          <w:color w:val="000000"/>
        </w:rPr>
        <w:t xml:space="preserve">reframes the work of missiology itself. Missiology must attend not only to the </w:t>
      </w:r>
      <w:r w:rsidR="00E761B2">
        <w:rPr>
          <w:rFonts w:eastAsia="Times New Roman" w:cs="Times New Roman"/>
          <w:color w:val="000000"/>
        </w:rPr>
        <w:t>C</w:t>
      </w:r>
      <w:r>
        <w:rPr>
          <w:rFonts w:eastAsia="Times New Roman" w:cs="Times New Roman"/>
          <w:color w:val="000000"/>
        </w:rPr>
        <w:t>hurch</w:t>
      </w:r>
      <w:r w:rsidR="00446AC4">
        <w:rPr>
          <w:rFonts w:eastAsia="Times New Roman" w:cs="Times New Roman"/>
          <w:color w:val="000000"/>
        </w:rPr>
        <w:t>’</w:t>
      </w:r>
      <w:r>
        <w:rPr>
          <w:rFonts w:eastAsia="Times New Roman" w:cs="Times New Roman"/>
          <w:color w:val="000000"/>
        </w:rPr>
        <w:t xml:space="preserve">s witness before the world but also to the </w:t>
      </w:r>
      <w:r w:rsidR="00E761B2">
        <w:rPr>
          <w:rFonts w:eastAsia="Times New Roman" w:cs="Times New Roman"/>
          <w:color w:val="000000"/>
        </w:rPr>
        <w:t>C</w:t>
      </w:r>
      <w:r>
        <w:rPr>
          <w:rFonts w:eastAsia="Times New Roman" w:cs="Times New Roman"/>
          <w:color w:val="000000"/>
        </w:rPr>
        <w:t>hurch</w:t>
      </w:r>
      <w:r w:rsidR="00446AC4">
        <w:rPr>
          <w:rFonts w:eastAsia="Times New Roman" w:cs="Times New Roman"/>
          <w:color w:val="000000"/>
        </w:rPr>
        <w:t>’</w:t>
      </w:r>
      <w:r>
        <w:rPr>
          <w:rFonts w:eastAsia="Times New Roman" w:cs="Times New Roman"/>
          <w:color w:val="000000"/>
        </w:rPr>
        <w:t xml:space="preserve">s continual conversion toward Christ. The missionary question is therefore not exhausted by how faithfully the gospel is translated into </w:t>
      </w:r>
      <w:r>
        <w:rPr>
          <w:rFonts w:eastAsia="Times New Roman" w:cs="Times New Roman"/>
          <w:color w:val="000000"/>
        </w:rPr>
        <w:lastRenderedPageBreak/>
        <w:t xml:space="preserve">new </w:t>
      </w:r>
      <w:r w:rsidR="00446AC4">
        <w:rPr>
          <w:rFonts w:eastAsia="Times New Roman" w:cs="Times New Roman"/>
          <w:color w:val="000000"/>
        </w:rPr>
        <w:t>cultures but</w:t>
      </w:r>
      <w:r>
        <w:rPr>
          <w:rFonts w:eastAsia="Times New Roman" w:cs="Times New Roman"/>
          <w:color w:val="000000"/>
        </w:rPr>
        <w:t xml:space="preserve"> extends to whether the </w:t>
      </w:r>
      <w:r w:rsidR="00E761B2">
        <w:rPr>
          <w:rFonts w:eastAsia="Times New Roman" w:cs="Times New Roman"/>
          <w:color w:val="000000"/>
        </w:rPr>
        <w:t>C</w:t>
      </w:r>
      <w:r>
        <w:rPr>
          <w:rFonts w:eastAsia="Times New Roman" w:cs="Times New Roman"/>
          <w:color w:val="000000"/>
        </w:rPr>
        <w:t>hurch</w:t>
      </w:r>
      <w:r w:rsidR="00446AC4">
        <w:rPr>
          <w:rFonts w:eastAsia="Times New Roman" w:cs="Times New Roman"/>
          <w:color w:val="000000"/>
        </w:rPr>
        <w:t>’</w:t>
      </w:r>
      <w:r>
        <w:rPr>
          <w:rFonts w:eastAsia="Times New Roman" w:cs="Times New Roman"/>
          <w:color w:val="000000"/>
        </w:rPr>
        <w:t xml:space="preserve">s own inherited practices remain continually turned toward the One whose mission they serve. Wherever that turning ceases, operational displacement begins. Wherever </w:t>
      </w:r>
      <w:r w:rsidR="00E761B2">
        <w:rPr>
          <w:rFonts w:eastAsia="Times New Roman" w:cs="Times New Roman"/>
          <w:color w:val="000000"/>
        </w:rPr>
        <w:t>the turning</w:t>
      </w:r>
      <w:r>
        <w:rPr>
          <w:rFonts w:eastAsia="Times New Roman" w:cs="Times New Roman"/>
          <w:color w:val="000000"/>
        </w:rPr>
        <w:t xml:space="preserve"> continues, Christian witness retains its unity amid legitimate diversity. </w:t>
      </w:r>
    </w:p>
    <w:p w14:paraId="5C678BB6" w14:textId="7895DC1F" w:rsidR="00A54E5F" w:rsidRDefault="00A54E5F" w:rsidP="001B68BF">
      <w:pPr>
        <w:ind w:firstLine="360"/>
        <w:rPr>
          <w:color w:val="000000"/>
        </w:rPr>
      </w:pPr>
      <w:r>
        <w:rPr>
          <w:rFonts w:eastAsia="Times New Roman" w:cs="Times New Roman"/>
          <w:color w:val="000000"/>
        </w:rPr>
        <w:t xml:space="preserve">The vantage points pursued </w:t>
      </w:r>
      <w:r w:rsidR="00E761B2">
        <w:rPr>
          <w:rFonts w:eastAsia="Times New Roman" w:cs="Times New Roman"/>
          <w:color w:val="000000"/>
        </w:rPr>
        <w:t>in this article</w:t>
      </w:r>
      <w:r>
        <w:rPr>
          <w:rFonts w:eastAsia="Times New Roman" w:cs="Times New Roman"/>
          <w:color w:val="000000"/>
        </w:rPr>
        <w:t xml:space="preserve"> do not exhaust the registers at which the de-Jesus-</w:t>
      </w:r>
      <w:proofErr w:type="spellStart"/>
      <w:r>
        <w:rPr>
          <w:rFonts w:eastAsia="Times New Roman" w:cs="Times New Roman"/>
          <w:color w:val="000000"/>
        </w:rPr>
        <w:t>ing</w:t>
      </w:r>
      <w:proofErr w:type="spellEnd"/>
      <w:r>
        <w:rPr>
          <w:rFonts w:eastAsia="Times New Roman" w:cs="Times New Roman"/>
          <w:color w:val="000000"/>
        </w:rPr>
        <w:t xml:space="preserve"> of mission can be diagnosed. Structural-sociological, anthropological-formational, and civilizational accounts of the same displacement remain to be drawn out elsewhere; each would sharpen, without altering, th</w:t>
      </w:r>
      <w:r w:rsidR="00E761B2">
        <w:rPr>
          <w:rFonts w:eastAsia="Times New Roman" w:cs="Times New Roman"/>
          <w:color w:val="000000"/>
        </w:rPr>
        <w:t>is article’s</w:t>
      </w:r>
      <w:r>
        <w:rPr>
          <w:rFonts w:eastAsia="Times New Roman" w:cs="Times New Roman"/>
          <w:color w:val="000000"/>
        </w:rPr>
        <w:t xml:space="preserve"> argument.</w:t>
      </w:r>
    </w:p>
    <w:p w14:paraId="162EC780" w14:textId="469E1C46" w:rsidR="00BE3B05" w:rsidRPr="00BE3B05" w:rsidRDefault="00264A20" w:rsidP="001B68BF">
      <w:pPr>
        <w:pStyle w:val="Heading2"/>
        <w:spacing w:before="0" w:beforeAutospacing="0" w:afterAutospacing="0"/>
      </w:pPr>
      <w:r>
        <w:t>Conclusion</w:t>
      </w:r>
    </w:p>
    <w:p w14:paraId="3BFDA3A2" w14:textId="267B2B3C" w:rsidR="004247CD" w:rsidRDefault="004247CD" w:rsidP="001B68BF">
      <w:pPr>
        <w:rPr>
          <w:color w:val="000000"/>
        </w:rPr>
      </w:pPr>
      <w:r>
        <w:rPr>
          <w:rFonts w:eastAsia="Times New Roman" w:cs="Times New Roman"/>
          <w:color w:val="000000"/>
        </w:rPr>
        <w:t xml:space="preserve">The contemporary fragmentation of Christian witness is more fundamentally </w:t>
      </w:r>
      <w:proofErr w:type="spellStart"/>
      <w:r w:rsidR="00C1019B">
        <w:rPr>
          <w:rFonts w:eastAsia="Times New Roman" w:cs="Times New Roman"/>
          <w:color w:val="000000"/>
        </w:rPr>
        <w:t>c</w:t>
      </w:r>
      <w:r>
        <w:rPr>
          <w:rFonts w:eastAsia="Times New Roman" w:cs="Times New Roman"/>
          <w:color w:val="000000"/>
        </w:rPr>
        <w:t>hristological</w:t>
      </w:r>
      <w:proofErr w:type="spellEnd"/>
      <w:r>
        <w:rPr>
          <w:rFonts w:eastAsia="Times New Roman" w:cs="Times New Roman"/>
          <w:color w:val="000000"/>
        </w:rPr>
        <w:t xml:space="preserve"> than organizational. The de-Jesus-</w:t>
      </w:r>
      <w:proofErr w:type="spellStart"/>
      <w:r>
        <w:rPr>
          <w:rFonts w:eastAsia="Times New Roman" w:cs="Times New Roman"/>
          <w:color w:val="000000"/>
        </w:rPr>
        <w:t>ing</w:t>
      </w:r>
      <w:proofErr w:type="spellEnd"/>
      <w:r>
        <w:rPr>
          <w:rFonts w:eastAsia="Times New Roman" w:cs="Times New Roman"/>
          <w:color w:val="000000"/>
        </w:rPr>
        <w:t xml:space="preserve"> of mission names the gradual operational displacement of Jesus Christ from the living subject of the </w:t>
      </w:r>
      <w:r w:rsidR="00E761B2">
        <w:rPr>
          <w:rFonts w:eastAsia="Times New Roman" w:cs="Times New Roman"/>
          <w:color w:val="000000"/>
        </w:rPr>
        <w:t>C</w:t>
      </w:r>
      <w:r>
        <w:rPr>
          <w:rFonts w:eastAsia="Times New Roman" w:cs="Times New Roman"/>
          <w:color w:val="000000"/>
        </w:rPr>
        <w:t>hurch's witness to the object increasingly administered within its ministries. The problem is therefore not specialization itself but the loss of Christ</w:t>
      </w:r>
      <w:r w:rsidR="007554FD">
        <w:rPr>
          <w:rFonts w:eastAsia="Times New Roman" w:cs="Times New Roman"/>
          <w:color w:val="000000"/>
        </w:rPr>
        <w:t>’</w:t>
      </w:r>
      <w:r>
        <w:rPr>
          <w:rFonts w:eastAsia="Times New Roman" w:cs="Times New Roman"/>
          <w:color w:val="000000"/>
        </w:rPr>
        <w:t xml:space="preserve">s operative primacy within the </w:t>
      </w:r>
      <w:r w:rsidR="00E761B2">
        <w:rPr>
          <w:rFonts w:eastAsia="Times New Roman" w:cs="Times New Roman"/>
          <w:color w:val="000000"/>
        </w:rPr>
        <w:t>C</w:t>
      </w:r>
      <w:r>
        <w:rPr>
          <w:rFonts w:eastAsia="Times New Roman" w:cs="Times New Roman"/>
          <w:color w:val="000000"/>
        </w:rPr>
        <w:t>hurch's own practices.</w:t>
      </w:r>
    </w:p>
    <w:p w14:paraId="0C7B402B" w14:textId="47A48D33" w:rsidR="004247CD" w:rsidRDefault="004247CD" w:rsidP="001B68BF">
      <w:pPr>
        <w:ind w:firstLine="360"/>
        <w:rPr>
          <w:color w:val="000000"/>
        </w:rPr>
      </w:pPr>
      <w:r>
        <w:rPr>
          <w:rFonts w:eastAsia="Times New Roman" w:cs="Times New Roman"/>
          <w:color w:val="000000"/>
        </w:rPr>
        <w:t>Andrew Walls's grammar of</w:t>
      </w:r>
      <w:r>
        <w:rPr>
          <w:rStyle w:val="apple-converted-space"/>
          <w:rFonts w:eastAsia="Times New Roman" w:cs="Times New Roman"/>
          <w:color w:val="000000"/>
        </w:rPr>
        <w:t> </w:t>
      </w:r>
      <w:proofErr w:type="spellStart"/>
      <w:r>
        <w:rPr>
          <w:rStyle w:val="Emphasis"/>
          <w:rFonts w:eastAsia="Times New Roman" w:cs="Times New Roman"/>
          <w:color w:val="000000"/>
        </w:rPr>
        <w:t>shub</w:t>
      </w:r>
      <w:proofErr w:type="spellEnd"/>
      <w:r>
        <w:rPr>
          <w:rStyle w:val="apple-converted-space"/>
          <w:rFonts w:eastAsia="Times New Roman" w:cs="Times New Roman"/>
          <w:color w:val="000000"/>
        </w:rPr>
        <w:t> </w:t>
      </w:r>
      <w:r>
        <w:rPr>
          <w:rFonts w:eastAsia="Times New Roman" w:cs="Times New Roman"/>
          <w:color w:val="000000"/>
        </w:rPr>
        <w:t xml:space="preserve">provides both the diagnosis and the remedy. If conversion is the continual turning of what is already there toward Christ, then the </w:t>
      </w:r>
      <w:r w:rsidR="00E761B2">
        <w:rPr>
          <w:rFonts w:eastAsia="Times New Roman" w:cs="Times New Roman"/>
          <w:color w:val="000000"/>
        </w:rPr>
        <w:t>C</w:t>
      </w:r>
      <w:r>
        <w:rPr>
          <w:rFonts w:eastAsia="Times New Roman" w:cs="Times New Roman"/>
          <w:color w:val="000000"/>
        </w:rPr>
        <w:t>hurch</w:t>
      </w:r>
      <w:r w:rsidR="0018224F">
        <w:rPr>
          <w:rFonts w:eastAsia="Times New Roman" w:cs="Times New Roman"/>
          <w:color w:val="000000"/>
        </w:rPr>
        <w:t>’</w:t>
      </w:r>
      <w:r>
        <w:rPr>
          <w:rFonts w:eastAsia="Times New Roman" w:cs="Times New Roman"/>
          <w:color w:val="000000"/>
        </w:rPr>
        <w:t>s own ministries remain perpetually subject to that same turning. Apologetics, evangelism, discipleship, and spiritual formation need not become less diverse; they must remain continually converted. Re-</w:t>
      </w:r>
      <w:proofErr w:type="spellStart"/>
      <w:r>
        <w:rPr>
          <w:rFonts w:eastAsia="Times New Roman" w:cs="Times New Roman"/>
          <w:color w:val="000000"/>
        </w:rPr>
        <w:t>agentification</w:t>
      </w:r>
      <w:proofErr w:type="spellEnd"/>
      <w:r>
        <w:rPr>
          <w:rFonts w:eastAsia="Times New Roman" w:cs="Times New Roman"/>
          <w:color w:val="000000"/>
        </w:rPr>
        <w:t xml:space="preserve"> simply names the recovery of Christ's continuing agency within those diverse practices. This </w:t>
      </w:r>
      <w:r w:rsidR="00E761B2">
        <w:rPr>
          <w:rFonts w:eastAsia="Times New Roman" w:cs="Times New Roman"/>
          <w:color w:val="000000"/>
        </w:rPr>
        <w:t xml:space="preserve">article </w:t>
      </w:r>
      <w:r>
        <w:rPr>
          <w:rFonts w:eastAsia="Times New Roman" w:cs="Times New Roman"/>
          <w:color w:val="000000"/>
        </w:rPr>
        <w:t>is itself an exercise in theorizing about Christ</w:t>
      </w:r>
      <w:r w:rsidR="0018224F">
        <w:rPr>
          <w:rFonts w:eastAsia="Times New Roman" w:cs="Times New Roman"/>
          <w:color w:val="000000"/>
        </w:rPr>
        <w:t>’</w:t>
      </w:r>
      <w:r>
        <w:rPr>
          <w:rFonts w:eastAsia="Times New Roman" w:cs="Times New Roman"/>
          <w:color w:val="000000"/>
        </w:rPr>
        <w:t xml:space="preserve">s agency, and any </w:t>
      </w:r>
      <w:r w:rsidR="00E761B2">
        <w:rPr>
          <w:rFonts w:eastAsia="Times New Roman" w:cs="Times New Roman"/>
          <w:color w:val="000000"/>
        </w:rPr>
        <w:t xml:space="preserve">study </w:t>
      </w:r>
      <w:r>
        <w:rPr>
          <w:rFonts w:eastAsia="Times New Roman" w:cs="Times New Roman"/>
          <w:color w:val="000000"/>
        </w:rPr>
        <w:t xml:space="preserve">of this kind risks performing the very displacement it diagnoses if analysis substitutes for encounter. </w:t>
      </w:r>
      <w:r w:rsidR="00E761B2">
        <w:rPr>
          <w:rFonts w:eastAsia="Times New Roman" w:cs="Times New Roman"/>
          <w:color w:val="000000"/>
        </w:rPr>
        <w:t>The article’</w:t>
      </w:r>
      <w:r>
        <w:rPr>
          <w:rFonts w:eastAsia="Times New Roman" w:cs="Times New Roman"/>
          <w:color w:val="000000"/>
        </w:rPr>
        <w:t xml:space="preserve">s adequacy is finally tested not </w:t>
      </w:r>
      <w:r w:rsidR="00E761B2">
        <w:rPr>
          <w:rFonts w:eastAsia="Times New Roman" w:cs="Times New Roman"/>
          <w:color w:val="000000"/>
        </w:rPr>
        <w:t xml:space="preserve">only </w:t>
      </w:r>
      <w:r>
        <w:rPr>
          <w:rFonts w:eastAsia="Times New Roman" w:cs="Times New Roman"/>
          <w:color w:val="000000"/>
        </w:rPr>
        <w:t xml:space="preserve">by its conceptual coherence but by </w:t>
      </w:r>
      <w:proofErr w:type="gramStart"/>
      <w:r>
        <w:rPr>
          <w:rFonts w:eastAsia="Times New Roman" w:cs="Times New Roman"/>
          <w:color w:val="000000"/>
        </w:rPr>
        <w:t>whether</w:t>
      </w:r>
      <w:r w:rsidR="00E761B2">
        <w:rPr>
          <w:rFonts w:eastAsia="Times New Roman" w:cs="Times New Roman"/>
          <w:color w:val="000000"/>
        </w:rPr>
        <w:t xml:space="preserve"> or not</w:t>
      </w:r>
      <w:proofErr w:type="gramEnd"/>
      <w:r>
        <w:rPr>
          <w:rFonts w:eastAsia="Times New Roman" w:cs="Times New Roman"/>
          <w:color w:val="000000"/>
        </w:rPr>
        <w:t xml:space="preserve"> it returns its readers, and its author, to participation in the continuing conversion it describes.</w:t>
      </w:r>
    </w:p>
    <w:p w14:paraId="5D8DE16C" w14:textId="67C1329B" w:rsidR="00CA2BE1" w:rsidRDefault="004247CD" w:rsidP="001B68BF">
      <w:pPr>
        <w:ind w:firstLine="360"/>
        <w:rPr>
          <w:color w:val="000000"/>
        </w:rPr>
      </w:pPr>
      <w:r>
        <w:rPr>
          <w:rFonts w:eastAsia="Times New Roman" w:cs="Times New Roman"/>
          <w:color w:val="000000"/>
        </w:rPr>
        <w:t xml:space="preserve">The future coherence of Christian witness will therefore depend less upon new structures, better coordination, or more refined methodologies than upon the </w:t>
      </w:r>
      <w:r w:rsidR="00E761B2">
        <w:rPr>
          <w:rFonts w:eastAsia="Times New Roman" w:cs="Times New Roman"/>
          <w:color w:val="000000"/>
        </w:rPr>
        <w:t>C</w:t>
      </w:r>
      <w:r>
        <w:rPr>
          <w:rFonts w:eastAsia="Times New Roman" w:cs="Times New Roman"/>
          <w:color w:val="000000"/>
        </w:rPr>
        <w:t>hurch</w:t>
      </w:r>
      <w:r w:rsidR="00996341">
        <w:rPr>
          <w:rFonts w:eastAsia="Times New Roman" w:cs="Times New Roman"/>
          <w:color w:val="000000"/>
        </w:rPr>
        <w:t>’</w:t>
      </w:r>
      <w:r>
        <w:rPr>
          <w:rFonts w:eastAsia="Times New Roman" w:cs="Times New Roman"/>
          <w:color w:val="000000"/>
        </w:rPr>
        <w:t xml:space="preserve">s willingness to undergo its own continuing conversion. Paul Hiebert names the same discernment </w:t>
      </w:r>
      <w:proofErr w:type="spellStart"/>
      <w:r>
        <w:rPr>
          <w:rFonts w:eastAsia="Times New Roman" w:cs="Times New Roman"/>
          <w:color w:val="000000"/>
        </w:rPr>
        <w:t>missiologically</w:t>
      </w:r>
      <w:proofErr w:type="spellEnd"/>
      <w:r>
        <w:rPr>
          <w:rFonts w:eastAsia="Times New Roman" w:cs="Times New Roman"/>
          <w:color w:val="000000"/>
        </w:rPr>
        <w:t xml:space="preserve">: </w:t>
      </w:r>
      <w:r w:rsidR="00996341">
        <w:rPr>
          <w:rFonts w:eastAsia="Times New Roman" w:cs="Times New Roman"/>
          <w:color w:val="000000"/>
        </w:rPr>
        <w:t>“</w:t>
      </w:r>
      <w:r w:rsidR="00E761B2">
        <w:rPr>
          <w:rFonts w:eastAsia="Times New Roman" w:cs="Times New Roman"/>
          <w:color w:val="000000"/>
        </w:rPr>
        <w:t>O</w:t>
      </w:r>
      <w:r>
        <w:rPr>
          <w:rFonts w:eastAsia="Times New Roman" w:cs="Times New Roman"/>
          <w:color w:val="000000"/>
        </w:rPr>
        <w:t>ur central task is not to communicate a message but to introduce people to that person, Jesus Christ</w:t>
      </w:r>
      <w:r w:rsidR="00996341">
        <w:rPr>
          <w:rFonts w:eastAsia="Times New Roman" w:cs="Times New Roman"/>
          <w:color w:val="000000"/>
        </w:rPr>
        <w:t>”</w:t>
      </w:r>
      <w:r>
        <w:rPr>
          <w:rFonts w:eastAsia="Times New Roman" w:cs="Times New Roman"/>
          <w:color w:val="000000"/>
        </w:rPr>
        <w:t xml:space="preserve"> (Hiebert</w:t>
      </w:r>
      <w:r w:rsidR="00E761B2">
        <w:rPr>
          <w:rFonts w:eastAsia="Times New Roman" w:cs="Times New Roman"/>
          <w:color w:val="000000"/>
        </w:rPr>
        <w:t>,</w:t>
      </w:r>
      <w:r>
        <w:rPr>
          <w:rFonts w:eastAsia="Times New Roman" w:cs="Times New Roman"/>
          <w:color w:val="000000"/>
        </w:rPr>
        <w:t xml:space="preserve"> 1999, p. 116). Wherever</w:t>
      </w:r>
      <w:r>
        <w:rPr>
          <w:rStyle w:val="apple-converted-space"/>
          <w:rFonts w:eastAsia="Times New Roman" w:cs="Times New Roman"/>
          <w:color w:val="000000"/>
        </w:rPr>
        <w:t> </w:t>
      </w:r>
      <w:proofErr w:type="spellStart"/>
      <w:r>
        <w:rPr>
          <w:rStyle w:val="Emphasis"/>
          <w:rFonts w:eastAsia="Times New Roman" w:cs="Times New Roman"/>
          <w:color w:val="000000"/>
        </w:rPr>
        <w:t>shub</w:t>
      </w:r>
      <w:proofErr w:type="spellEnd"/>
      <w:r>
        <w:rPr>
          <w:rStyle w:val="apple-converted-space"/>
          <w:rFonts w:eastAsia="Times New Roman" w:cs="Times New Roman"/>
          <w:color w:val="000000"/>
        </w:rPr>
        <w:t> </w:t>
      </w:r>
      <w:r>
        <w:rPr>
          <w:rFonts w:eastAsia="Times New Roman" w:cs="Times New Roman"/>
          <w:color w:val="000000"/>
        </w:rPr>
        <w:t xml:space="preserve">turns home, Christ remains not merely the content of the </w:t>
      </w:r>
      <w:r w:rsidR="00E761B2">
        <w:rPr>
          <w:rFonts w:eastAsia="Times New Roman" w:cs="Times New Roman"/>
          <w:color w:val="000000"/>
        </w:rPr>
        <w:t>C</w:t>
      </w:r>
      <w:r>
        <w:rPr>
          <w:rFonts w:eastAsia="Times New Roman" w:cs="Times New Roman"/>
          <w:color w:val="000000"/>
        </w:rPr>
        <w:t>hurch's proclamation but the living subject of its mission.</w:t>
      </w:r>
    </w:p>
    <w:p w14:paraId="59C0AC43" w14:textId="4427BC05" w:rsidR="000D00FD" w:rsidRPr="000D00FD" w:rsidRDefault="000D00FD" w:rsidP="001B68BF">
      <w:pPr>
        <w:pStyle w:val="Heading1"/>
        <w:spacing w:before="0"/>
      </w:pPr>
      <w:r w:rsidRPr="000D00FD">
        <w:rPr>
          <w:rFonts w:cs="Times New Roman"/>
        </w:rPr>
        <w:t>References</w:t>
      </w:r>
    </w:p>
    <w:p w14:paraId="28D21BF8" w14:textId="1309B557" w:rsidR="009C5EDD" w:rsidRDefault="009C5EDD" w:rsidP="001B68BF">
      <w:pPr>
        <w:pStyle w:val="Bibliography"/>
      </w:pPr>
      <w:r w:rsidRPr="000D00FD">
        <w:t xml:space="preserve">Berger, P. L. (1961). </w:t>
      </w:r>
      <w:r w:rsidRPr="00F97985">
        <w:rPr>
          <w:i/>
          <w:iCs/>
        </w:rPr>
        <w:t>The precarious vision: A sociologist looks at social fictions and Christian faith</w:t>
      </w:r>
      <w:r w:rsidRPr="000D00FD">
        <w:t>. Doubleday &amp; Company.</w:t>
      </w:r>
    </w:p>
    <w:p w14:paraId="4F9D7A54" w14:textId="503F55F9" w:rsidR="000D00FD" w:rsidRPr="000D00FD" w:rsidRDefault="000D00FD" w:rsidP="001B68BF">
      <w:pPr>
        <w:pStyle w:val="Bibliography"/>
      </w:pPr>
      <w:r w:rsidRPr="000D00FD">
        <w:t xml:space="preserve">Berger, P. L. (1967). </w:t>
      </w:r>
      <w:r w:rsidRPr="00F97985">
        <w:rPr>
          <w:i/>
          <w:iCs/>
        </w:rPr>
        <w:t>The sacred canopy: Elements of a sociological theory of religion</w:t>
      </w:r>
      <w:r w:rsidRPr="000D00FD">
        <w:t>. Doubleday.</w:t>
      </w:r>
    </w:p>
    <w:p w14:paraId="676AC93F" w14:textId="77777777" w:rsidR="000D00FD" w:rsidRPr="000D00FD" w:rsidRDefault="000D00FD" w:rsidP="001B68BF">
      <w:pPr>
        <w:pStyle w:val="Bibliography"/>
      </w:pPr>
      <w:r w:rsidRPr="000D00FD">
        <w:t xml:space="preserve">Flett, J. G. (2010). </w:t>
      </w:r>
      <w:r w:rsidRPr="00F97985">
        <w:rPr>
          <w:i/>
          <w:iCs/>
        </w:rPr>
        <w:t xml:space="preserve">The witness of God: The Trinity, </w:t>
      </w:r>
      <w:proofErr w:type="spellStart"/>
      <w:r w:rsidRPr="00F97985">
        <w:rPr>
          <w:i/>
          <w:iCs/>
        </w:rPr>
        <w:t>missio</w:t>
      </w:r>
      <w:proofErr w:type="spellEnd"/>
      <w:r w:rsidRPr="00F97985">
        <w:rPr>
          <w:i/>
          <w:iCs/>
        </w:rPr>
        <w:t xml:space="preserve"> Dei, Karl Barth, and the nature of Christian community</w:t>
      </w:r>
      <w:r w:rsidRPr="000D00FD">
        <w:t>. William B. Eerdmans Publishing Company.</w:t>
      </w:r>
    </w:p>
    <w:p w14:paraId="06B762D6" w14:textId="5E365D3C" w:rsidR="000D00FD" w:rsidRPr="000D00FD" w:rsidRDefault="000D00FD" w:rsidP="001B68BF">
      <w:pPr>
        <w:pStyle w:val="Bibliography"/>
      </w:pPr>
      <w:r w:rsidRPr="000D00FD">
        <w:t xml:space="preserve">Gauvreau, M. (2000). From </w:t>
      </w:r>
      <w:proofErr w:type="spellStart"/>
      <w:r w:rsidRPr="000D00FD">
        <w:t>rechristianization</w:t>
      </w:r>
      <w:proofErr w:type="spellEnd"/>
      <w:r w:rsidRPr="000D00FD">
        <w:t xml:space="preserve"> to contestation: Catholic values and Quebec society, 1931–1970. </w:t>
      </w:r>
      <w:r w:rsidRPr="00F97985">
        <w:rPr>
          <w:i/>
          <w:iCs/>
        </w:rPr>
        <w:t>Church History</w:t>
      </w:r>
      <w:r w:rsidRPr="000D00FD">
        <w:t>, 69, No. 4</w:t>
      </w:r>
      <w:r w:rsidR="00EF63E5">
        <w:t>:</w:t>
      </w:r>
      <w:r w:rsidRPr="000D00FD">
        <w:t xml:space="preserve"> pp. 803–833.</w:t>
      </w:r>
    </w:p>
    <w:p w14:paraId="44576344" w14:textId="77777777" w:rsidR="000D00FD" w:rsidRPr="000D00FD" w:rsidRDefault="000D00FD" w:rsidP="001B68BF">
      <w:pPr>
        <w:pStyle w:val="Bibliography"/>
      </w:pPr>
      <w:r w:rsidRPr="000D00FD">
        <w:t xml:space="preserve">Hiebert, P. G. (1999). </w:t>
      </w:r>
      <w:r w:rsidRPr="00F97985">
        <w:rPr>
          <w:i/>
          <w:iCs/>
        </w:rPr>
        <w:t>Missiological implications of epistemological shifts: Affirming truth in a modern/postmodern world</w:t>
      </w:r>
      <w:r w:rsidRPr="000D00FD">
        <w:t>. Trinity Press International.</w:t>
      </w:r>
    </w:p>
    <w:p w14:paraId="75BF213C" w14:textId="66A3A8BA" w:rsidR="000D00FD" w:rsidRPr="000D00FD" w:rsidRDefault="000D00FD" w:rsidP="001B68BF">
      <w:pPr>
        <w:pStyle w:val="Bibliography"/>
      </w:pPr>
      <w:r w:rsidRPr="000D00FD">
        <w:lastRenderedPageBreak/>
        <w:t xml:space="preserve">Nault, J.-F., &amp; Meunier, E.-M. (2017). Is Quebec still a Catholically distinct society within Canada? An examination of Catholic affiliation and mass attendance. </w:t>
      </w:r>
      <w:r w:rsidRPr="00F97985">
        <w:rPr>
          <w:i/>
          <w:iCs/>
        </w:rPr>
        <w:t>Studies in Religion / Sciences Religieuses</w:t>
      </w:r>
      <w:r w:rsidRPr="000D00FD">
        <w:t>, 46, No. 2</w:t>
      </w:r>
      <w:r w:rsidR="00EF63E5">
        <w:t>:</w:t>
      </w:r>
      <w:r w:rsidRPr="000D00FD">
        <w:t xml:space="preserve"> pp. 230–248.</w:t>
      </w:r>
    </w:p>
    <w:p w14:paraId="6787F208" w14:textId="79BF5B37" w:rsidR="000D00FD" w:rsidRPr="000D00FD" w:rsidRDefault="000D00FD" w:rsidP="001B68BF">
      <w:pPr>
        <w:pStyle w:val="Bibliography"/>
      </w:pPr>
      <w:r w:rsidRPr="000D00FD">
        <w:t xml:space="preserve">Walls, A. F. (2025). </w:t>
      </w:r>
      <w:r w:rsidRPr="00F97985">
        <w:rPr>
          <w:i/>
          <w:iCs/>
        </w:rPr>
        <w:t>Christian conversion and mission</w:t>
      </w:r>
      <w:r w:rsidRPr="000D00FD">
        <w:t xml:space="preserve"> (</w:t>
      </w:r>
      <w:r w:rsidR="00E761B2">
        <w:t>M. R. Gornik</w:t>
      </w:r>
      <w:r w:rsidRPr="000D00FD">
        <w:t>, Ed.). Cascade Books.</w:t>
      </w:r>
    </w:p>
    <w:p w14:paraId="655CFDF0" w14:textId="77777777" w:rsidR="000D00FD" w:rsidRPr="00E761B2" w:rsidRDefault="000D00FD" w:rsidP="001B68BF">
      <w:pPr>
        <w:pStyle w:val="Bibliography"/>
      </w:pPr>
      <w:r w:rsidRPr="000D00FD">
        <w:t xml:space="preserve">Willard, D. (2009). </w:t>
      </w:r>
      <w:r w:rsidRPr="00F97985">
        <w:rPr>
          <w:i/>
          <w:iCs/>
        </w:rPr>
        <w:t>Knowing Christ today: Why we can trust spiritual knowledge</w:t>
      </w:r>
      <w:r w:rsidRPr="00E761B2">
        <w:t xml:space="preserve">. </w:t>
      </w:r>
      <w:proofErr w:type="spellStart"/>
      <w:r w:rsidRPr="00E761B2">
        <w:t>HarperOne</w:t>
      </w:r>
      <w:proofErr w:type="spellEnd"/>
      <w:r w:rsidRPr="00E761B2">
        <w:t>.</w:t>
      </w:r>
    </w:p>
    <w:sectPr w:rsidR="000D00FD" w:rsidRPr="00E761B2" w:rsidSect="00BD1CD0">
      <w:headerReference w:type="even" r:id="rId9"/>
      <w:headerReference w:type="default" r:id="rId10"/>
      <w:footerReference w:type="even" r:id="rId11"/>
      <w:footerReference w:type="default" r:id="rId12"/>
      <w:footerReference w:type="first" r:id="rId13"/>
      <w:pgSz w:w="12240" w:h="15840"/>
      <w:pgMar w:top="1440" w:right="1440" w:bottom="1440" w:left="1440" w:header="720" w:footer="720" w:gutter="0"/>
      <w:pgNumType w:start="3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05B12" w14:textId="77777777" w:rsidR="001D1857" w:rsidRDefault="001D1857" w:rsidP="00094956">
      <w:r>
        <w:separator/>
      </w:r>
    </w:p>
  </w:endnote>
  <w:endnote w:type="continuationSeparator" w:id="0">
    <w:p w14:paraId="057CAAD6" w14:textId="77777777" w:rsidR="001D1857" w:rsidRDefault="001D1857" w:rsidP="00094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0825353"/>
      <w:docPartObj>
        <w:docPartGallery w:val="Page Numbers (Bottom of Page)"/>
        <w:docPartUnique/>
      </w:docPartObj>
    </w:sdtPr>
    <w:sdtContent>
      <w:p w14:paraId="00A8A64B" w14:textId="2A5102C1" w:rsidR="00094956" w:rsidRDefault="00094956" w:rsidP="00EE10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E5886">
          <w:rPr>
            <w:rStyle w:val="PageNumber"/>
            <w:noProof/>
          </w:rPr>
          <w:t>10</w:t>
        </w:r>
        <w:r>
          <w:rPr>
            <w:rStyle w:val="PageNumber"/>
          </w:rPr>
          <w:fldChar w:fldCharType="end"/>
        </w:r>
      </w:p>
    </w:sdtContent>
  </w:sdt>
  <w:p w14:paraId="64BD3765" w14:textId="77777777" w:rsidR="00094956" w:rsidRDefault="00094956" w:rsidP="0009495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CF042" w14:textId="3EC4E865" w:rsidR="00094956" w:rsidRDefault="00566A43" w:rsidP="00566A43">
    <w:pPr>
      <w:pStyle w:val="Footer"/>
      <w:jc w:val="center"/>
    </w:pPr>
    <w:r w:rsidRPr="00A003C8">
      <w:rPr>
        <w:rFonts w:cs="Times New Roman"/>
        <w:i/>
        <w:iCs/>
        <w:sz w:val="20"/>
        <w:szCs w:val="20"/>
      </w:rPr>
      <w:t>Global Missiology</w:t>
    </w:r>
    <w:r w:rsidRPr="00A003C8">
      <w:rPr>
        <w:rFonts w:cs="Times New Roman"/>
        <w:sz w:val="20"/>
        <w:szCs w:val="20"/>
      </w:rPr>
      <w:t xml:space="preserve"> - ISSN 2831-4751 - Vol 2</w:t>
    </w:r>
    <w:r>
      <w:rPr>
        <w:rFonts w:cs="Times New Roman"/>
        <w:sz w:val="20"/>
        <w:szCs w:val="20"/>
      </w:rPr>
      <w:t>3</w:t>
    </w:r>
    <w:r w:rsidRPr="00A003C8">
      <w:rPr>
        <w:rFonts w:cs="Times New Roman"/>
        <w:sz w:val="20"/>
        <w:szCs w:val="20"/>
      </w:rPr>
      <w:t xml:space="preserve">, No </w:t>
    </w:r>
    <w:r>
      <w:rPr>
        <w:rFonts w:cs="Times New Roman"/>
        <w:sz w:val="20"/>
        <w:szCs w:val="20"/>
      </w:rPr>
      <w:t>4</w:t>
    </w:r>
    <w:r w:rsidRPr="00A003C8">
      <w:rPr>
        <w:rFonts w:cs="Times New Roman"/>
        <w:sz w:val="20"/>
        <w:szCs w:val="20"/>
      </w:rPr>
      <w:t xml:space="preserve"> (202</w:t>
    </w:r>
    <w:r>
      <w:rPr>
        <w:rFonts w:cs="Times New Roman"/>
        <w:sz w:val="20"/>
        <w:szCs w:val="20"/>
      </w:rPr>
      <w:t>6</w:t>
    </w:r>
    <w:r w:rsidRPr="00A003C8">
      <w:rPr>
        <w:rFonts w:cs="Times New Roman"/>
        <w:sz w:val="20"/>
        <w:szCs w:val="20"/>
      </w:rPr>
      <w:t xml:space="preserve">) </w:t>
    </w:r>
    <w:r>
      <w:rPr>
        <w:rFonts w:cs="Times New Roman"/>
        <w:sz w:val="20"/>
        <w:szCs w:val="20"/>
      </w:rPr>
      <w:t>October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B6206" w14:textId="77555864" w:rsidR="00566A43" w:rsidRDefault="00566A43" w:rsidP="00566A43">
    <w:pPr>
      <w:pStyle w:val="Footer"/>
      <w:jc w:val="center"/>
    </w:pPr>
    <w:r w:rsidRPr="00A003C8">
      <w:rPr>
        <w:rFonts w:cs="Times New Roman"/>
        <w:i/>
        <w:iCs/>
        <w:sz w:val="20"/>
        <w:szCs w:val="20"/>
      </w:rPr>
      <w:t>Global Missiology</w:t>
    </w:r>
    <w:r w:rsidRPr="00A003C8">
      <w:rPr>
        <w:rFonts w:cs="Times New Roman"/>
        <w:sz w:val="20"/>
        <w:szCs w:val="20"/>
      </w:rPr>
      <w:t xml:space="preserve"> - ISSN 2831-4751 - Vol 2</w:t>
    </w:r>
    <w:r>
      <w:rPr>
        <w:rFonts w:cs="Times New Roman"/>
        <w:sz w:val="20"/>
        <w:szCs w:val="20"/>
      </w:rPr>
      <w:t>3</w:t>
    </w:r>
    <w:r w:rsidRPr="00A003C8">
      <w:rPr>
        <w:rFonts w:cs="Times New Roman"/>
        <w:sz w:val="20"/>
        <w:szCs w:val="20"/>
      </w:rPr>
      <w:t xml:space="preserve">, No </w:t>
    </w:r>
    <w:r>
      <w:rPr>
        <w:rFonts w:cs="Times New Roman"/>
        <w:sz w:val="20"/>
        <w:szCs w:val="20"/>
      </w:rPr>
      <w:t>4</w:t>
    </w:r>
    <w:r w:rsidRPr="00A003C8">
      <w:rPr>
        <w:rFonts w:cs="Times New Roman"/>
        <w:sz w:val="20"/>
        <w:szCs w:val="20"/>
      </w:rPr>
      <w:t xml:space="preserve"> (202</w:t>
    </w:r>
    <w:r>
      <w:rPr>
        <w:rFonts w:cs="Times New Roman"/>
        <w:sz w:val="20"/>
        <w:szCs w:val="20"/>
      </w:rPr>
      <w:t>6</w:t>
    </w:r>
    <w:r w:rsidRPr="00A003C8">
      <w:rPr>
        <w:rFonts w:cs="Times New Roman"/>
        <w:sz w:val="20"/>
        <w:szCs w:val="20"/>
      </w:rPr>
      <w:t xml:space="preserve">) </w:t>
    </w:r>
    <w:r>
      <w:rPr>
        <w:rFonts w:cs="Times New Roman"/>
        <w:sz w:val="20"/>
        <w:szCs w:val="20"/>
      </w:rPr>
      <w:t>October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76104" w14:textId="77777777" w:rsidR="001D1857" w:rsidRDefault="001D1857" w:rsidP="00094956">
      <w:r>
        <w:separator/>
      </w:r>
    </w:p>
  </w:footnote>
  <w:footnote w:type="continuationSeparator" w:id="0">
    <w:p w14:paraId="1B0DCE5E" w14:textId="77777777" w:rsidR="001D1857" w:rsidRDefault="001D1857" w:rsidP="000949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84777685"/>
      <w:docPartObj>
        <w:docPartGallery w:val="Page Numbers (Top of Page)"/>
        <w:docPartUnique/>
      </w:docPartObj>
    </w:sdtPr>
    <w:sdtContent>
      <w:p w14:paraId="09486F61" w14:textId="15457FF4" w:rsidR="00566A43" w:rsidRDefault="00566A43" w:rsidP="00F36F8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52C2307" w14:textId="77777777" w:rsidR="00566A43" w:rsidRDefault="00566A43" w:rsidP="00566A4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6596567"/>
      <w:docPartObj>
        <w:docPartGallery w:val="Page Numbers (Top of Page)"/>
        <w:docPartUnique/>
      </w:docPartObj>
    </w:sdtPr>
    <w:sdtEndPr>
      <w:rPr>
        <w:rStyle w:val="PageNumber"/>
        <w:sz w:val="20"/>
        <w:szCs w:val="20"/>
      </w:rPr>
    </w:sdtEndPr>
    <w:sdtContent>
      <w:p w14:paraId="60DD95BC" w14:textId="59016C4A" w:rsidR="00566A43" w:rsidRPr="00566A43" w:rsidRDefault="00566A43" w:rsidP="00F36F80">
        <w:pPr>
          <w:pStyle w:val="Header"/>
          <w:framePr w:wrap="none" w:vAnchor="text" w:hAnchor="margin" w:xAlign="right" w:y="1"/>
          <w:rPr>
            <w:rStyle w:val="PageNumber"/>
            <w:sz w:val="20"/>
            <w:szCs w:val="20"/>
          </w:rPr>
        </w:pPr>
        <w:r w:rsidRPr="00566A43">
          <w:rPr>
            <w:rStyle w:val="PageNumber"/>
            <w:sz w:val="20"/>
            <w:szCs w:val="20"/>
          </w:rPr>
          <w:fldChar w:fldCharType="begin"/>
        </w:r>
        <w:r w:rsidRPr="00566A43">
          <w:rPr>
            <w:rStyle w:val="PageNumber"/>
            <w:sz w:val="20"/>
            <w:szCs w:val="20"/>
          </w:rPr>
          <w:instrText xml:space="preserve"> PAGE </w:instrText>
        </w:r>
        <w:r w:rsidRPr="00566A43">
          <w:rPr>
            <w:rStyle w:val="PageNumber"/>
            <w:sz w:val="20"/>
            <w:szCs w:val="20"/>
          </w:rPr>
          <w:fldChar w:fldCharType="separate"/>
        </w:r>
        <w:r w:rsidRPr="00566A43">
          <w:rPr>
            <w:rStyle w:val="PageNumber"/>
            <w:noProof/>
            <w:sz w:val="20"/>
            <w:szCs w:val="20"/>
          </w:rPr>
          <w:t>2</w:t>
        </w:r>
        <w:r w:rsidRPr="00566A43">
          <w:rPr>
            <w:rStyle w:val="PageNumber"/>
            <w:sz w:val="20"/>
            <w:szCs w:val="20"/>
          </w:rPr>
          <w:fldChar w:fldCharType="end"/>
        </w:r>
      </w:p>
    </w:sdtContent>
  </w:sdt>
  <w:p w14:paraId="3BEF27FB" w14:textId="77777777" w:rsidR="00566A43" w:rsidRDefault="00566A43" w:rsidP="00566A4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5179A"/>
    <w:multiLevelType w:val="hybridMultilevel"/>
    <w:tmpl w:val="AF5275A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3358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E1"/>
    <w:rsid w:val="000039FE"/>
    <w:rsid w:val="000124CF"/>
    <w:rsid w:val="0001474B"/>
    <w:rsid w:val="00014E7A"/>
    <w:rsid w:val="000269A9"/>
    <w:rsid w:val="0004025E"/>
    <w:rsid w:val="00040A66"/>
    <w:rsid w:val="00043C87"/>
    <w:rsid w:val="00055DEC"/>
    <w:rsid w:val="00056C22"/>
    <w:rsid w:val="00064B57"/>
    <w:rsid w:val="00066599"/>
    <w:rsid w:val="00072CFA"/>
    <w:rsid w:val="00077B5E"/>
    <w:rsid w:val="00082337"/>
    <w:rsid w:val="00083751"/>
    <w:rsid w:val="00084586"/>
    <w:rsid w:val="00094956"/>
    <w:rsid w:val="00094ED5"/>
    <w:rsid w:val="000B1545"/>
    <w:rsid w:val="000C2561"/>
    <w:rsid w:val="000C64C1"/>
    <w:rsid w:val="000C67D1"/>
    <w:rsid w:val="000D00FD"/>
    <w:rsid w:val="000D76F1"/>
    <w:rsid w:val="000E30E6"/>
    <w:rsid w:val="000F092F"/>
    <w:rsid w:val="000F2200"/>
    <w:rsid w:val="000F4DD9"/>
    <w:rsid w:val="000F5DE3"/>
    <w:rsid w:val="00104826"/>
    <w:rsid w:val="00107920"/>
    <w:rsid w:val="00111E23"/>
    <w:rsid w:val="00117EEA"/>
    <w:rsid w:val="00135023"/>
    <w:rsid w:val="001449C4"/>
    <w:rsid w:val="00166933"/>
    <w:rsid w:val="0017336F"/>
    <w:rsid w:val="0018224F"/>
    <w:rsid w:val="00185FFB"/>
    <w:rsid w:val="00192071"/>
    <w:rsid w:val="001A28C3"/>
    <w:rsid w:val="001A52D3"/>
    <w:rsid w:val="001B0314"/>
    <w:rsid w:val="001B68BF"/>
    <w:rsid w:val="001D1857"/>
    <w:rsid w:val="001D73F8"/>
    <w:rsid w:val="001E041D"/>
    <w:rsid w:val="001E4EF3"/>
    <w:rsid w:val="001F00BC"/>
    <w:rsid w:val="001F5BD1"/>
    <w:rsid w:val="002100C0"/>
    <w:rsid w:val="00214E05"/>
    <w:rsid w:val="00224584"/>
    <w:rsid w:val="00231271"/>
    <w:rsid w:val="002370AB"/>
    <w:rsid w:val="002376C6"/>
    <w:rsid w:val="0024112F"/>
    <w:rsid w:val="002554AA"/>
    <w:rsid w:val="00256A1A"/>
    <w:rsid w:val="00262483"/>
    <w:rsid w:val="00264A20"/>
    <w:rsid w:val="00273DB2"/>
    <w:rsid w:val="00276F71"/>
    <w:rsid w:val="00280C7D"/>
    <w:rsid w:val="00290701"/>
    <w:rsid w:val="00290B89"/>
    <w:rsid w:val="0029522E"/>
    <w:rsid w:val="00297B2F"/>
    <w:rsid w:val="00297FF4"/>
    <w:rsid w:val="002A30D4"/>
    <w:rsid w:val="002A5195"/>
    <w:rsid w:val="002B057E"/>
    <w:rsid w:val="002B09B9"/>
    <w:rsid w:val="002B2EAC"/>
    <w:rsid w:val="002B30EB"/>
    <w:rsid w:val="002C2300"/>
    <w:rsid w:val="002C3239"/>
    <w:rsid w:val="002D40C8"/>
    <w:rsid w:val="002E61C8"/>
    <w:rsid w:val="002E766D"/>
    <w:rsid w:val="003060CD"/>
    <w:rsid w:val="003117DC"/>
    <w:rsid w:val="00315C43"/>
    <w:rsid w:val="00326D4E"/>
    <w:rsid w:val="00326DA8"/>
    <w:rsid w:val="0032716A"/>
    <w:rsid w:val="00334241"/>
    <w:rsid w:val="00345B5F"/>
    <w:rsid w:val="00346E80"/>
    <w:rsid w:val="00347E76"/>
    <w:rsid w:val="00365175"/>
    <w:rsid w:val="00366343"/>
    <w:rsid w:val="00372D5B"/>
    <w:rsid w:val="003769E7"/>
    <w:rsid w:val="0039000C"/>
    <w:rsid w:val="003914D8"/>
    <w:rsid w:val="0039196D"/>
    <w:rsid w:val="00392359"/>
    <w:rsid w:val="003A2C73"/>
    <w:rsid w:val="003A7576"/>
    <w:rsid w:val="003B410A"/>
    <w:rsid w:val="003C0EAC"/>
    <w:rsid w:val="003C1AAD"/>
    <w:rsid w:val="003C21C7"/>
    <w:rsid w:val="003C5129"/>
    <w:rsid w:val="003D4FAB"/>
    <w:rsid w:val="003F3CA2"/>
    <w:rsid w:val="00410B02"/>
    <w:rsid w:val="0041639A"/>
    <w:rsid w:val="00420C5C"/>
    <w:rsid w:val="004247CD"/>
    <w:rsid w:val="00425410"/>
    <w:rsid w:val="00426A16"/>
    <w:rsid w:val="004301A9"/>
    <w:rsid w:val="00434F05"/>
    <w:rsid w:val="00436BF0"/>
    <w:rsid w:val="00442B15"/>
    <w:rsid w:val="00445112"/>
    <w:rsid w:val="00445A47"/>
    <w:rsid w:val="00446AC4"/>
    <w:rsid w:val="00453CCA"/>
    <w:rsid w:val="004569ED"/>
    <w:rsid w:val="0046579B"/>
    <w:rsid w:val="00472017"/>
    <w:rsid w:val="00472C0F"/>
    <w:rsid w:val="00481EA7"/>
    <w:rsid w:val="00486C7C"/>
    <w:rsid w:val="004A3BD5"/>
    <w:rsid w:val="004A6E7C"/>
    <w:rsid w:val="004A71E9"/>
    <w:rsid w:val="004B62DC"/>
    <w:rsid w:val="004B6D5E"/>
    <w:rsid w:val="004C51E6"/>
    <w:rsid w:val="004D10FA"/>
    <w:rsid w:val="004D1A36"/>
    <w:rsid w:val="004D348E"/>
    <w:rsid w:val="004D7ED7"/>
    <w:rsid w:val="004E69C3"/>
    <w:rsid w:val="004F0B1A"/>
    <w:rsid w:val="004F4955"/>
    <w:rsid w:val="00507038"/>
    <w:rsid w:val="00511FD9"/>
    <w:rsid w:val="00532347"/>
    <w:rsid w:val="005379BC"/>
    <w:rsid w:val="00537E33"/>
    <w:rsid w:val="005471F8"/>
    <w:rsid w:val="005639D3"/>
    <w:rsid w:val="00566A43"/>
    <w:rsid w:val="00575383"/>
    <w:rsid w:val="00575E5B"/>
    <w:rsid w:val="005768DA"/>
    <w:rsid w:val="005861DE"/>
    <w:rsid w:val="00587363"/>
    <w:rsid w:val="00591530"/>
    <w:rsid w:val="00594EE9"/>
    <w:rsid w:val="00596B7E"/>
    <w:rsid w:val="00597C01"/>
    <w:rsid w:val="005A6569"/>
    <w:rsid w:val="005B4C79"/>
    <w:rsid w:val="005D02D1"/>
    <w:rsid w:val="005D508A"/>
    <w:rsid w:val="005E6BD3"/>
    <w:rsid w:val="006065C6"/>
    <w:rsid w:val="00621341"/>
    <w:rsid w:val="006278D5"/>
    <w:rsid w:val="0063316D"/>
    <w:rsid w:val="00641CFE"/>
    <w:rsid w:val="00643AA7"/>
    <w:rsid w:val="00653B59"/>
    <w:rsid w:val="00656126"/>
    <w:rsid w:val="00682095"/>
    <w:rsid w:val="00682568"/>
    <w:rsid w:val="0068458F"/>
    <w:rsid w:val="006868EE"/>
    <w:rsid w:val="00690FE9"/>
    <w:rsid w:val="00691CB4"/>
    <w:rsid w:val="006A31B0"/>
    <w:rsid w:val="006B1DCA"/>
    <w:rsid w:val="006B2ECF"/>
    <w:rsid w:val="006C250E"/>
    <w:rsid w:val="006C53E5"/>
    <w:rsid w:val="006C6220"/>
    <w:rsid w:val="006D286F"/>
    <w:rsid w:val="006D7309"/>
    <w:rsid w:val="006E382C"/>
    <w:rsid w:val="006E45C6"/>
    <w:rsid w:val="007141E0"/>
    <w:rsid w:val="00725336"/>
    <w:rsid w:val="00735AA3"/>
    <w:rsid w:val="007418E7"/>
    <w:rsid w:val="00742278"/>
    <w:rsid w:val="00743982"/>
    <w:rsid w:val="00747A1F"/>
    <w:rsid w:val="007554FD"/>
    <w:rsid w:val="0076404A"/>
    <w:rsid w:val="00772C5F"/>
    <w:rsid w:val="00790D7B"/>
    <w:rsid w:val="007927B8"/>
    <w:rsid w:val="00794FA9"/>
    <w:rsid w:val="00797A67"/>
    <w:rsid w:val="00797B1A"/>
    <w:rsid w:val="007A18C6"/>
    <w:rsid w:val="007A72F9"/>
    <w:rsid w:val="007B051B"/>
    <w:rsid w:val="007B44EC"/>
    <w:rsid w:val="007B4B84"/>
    <w:rsid w:val="007B545D"/>
    <w:rsid w:val="007B68A2"/>
    <w:rsid w:val="007D1452"/>
    <w:rsid w:val="007D5F86"/>
    <w:rsid w:val="007E1F98"/>
    <w:rsid w:val="007E474C"/>
    <w:rsid w:val="007E5B43"/>
    <w:rsid w:val="007F40E9"/>
    <w:rsid w:val="00805410"/>
    <w:rsid w:val="00807464"/>
    <w:rsid w:val="00807835"/>
    <w:rsid w:val="00814E05"/>
    <w:rsid w:val="00821849"/>
    <w:rsid w:val="00832D98"/>
    <w:rsid w:val="008344A9"/>
    <w:rsid w:val="008418EF"/>
    <w:rsid w:val="00851330"/>
    <w:rsid w:val="008533DF"/>
    <w:rsid w:val="008815E3"/>
    <w:rsid w:val="00886FFB"/>
    <w:rsid w:val="008917AA"/>
    <w:rsid w:val="008A20F0"/>
    <w:rsid w:val="008C1327"/>
    <w:rsid w:val="008C4652"/>
    <w:rsid w:val="008C6D44"/>
    <w:rsid w:val="008F6BA6"/>
    <w:rsid w:val="0090603A"/>
    <w:rsid w:val="009245B8"/>
    <w:rsid w:val="00924832"/>
    <w:rsid w:val="00934701"/>
    <w:rsid w:val="00946120"/>
    <w:rsid w:val="00952719"/>
    <w:rsid w:val="00963A2D"/>
    <w:rsid w:val="00990A0A"/>
    <w:rsid w:val="00993825"/>
    <w:rsid w:val="00993E24"/>
    <w:rsid w:val="00996341"/>
    <w:rsid w:val="00997F8A"/>
    <w:rsid w:val="009A4A89"/>
    <w:rsid w:val="009C0008"/>
    <w:rsid w:val="009C440F"/>
    <w:rsid w:val="009C5EDD"/>
    <w:rsid w:val="009C7953"/>
    <w:rsid w:val="009D7F16"/>
    <w:rsid w:val="009F449F"/>
    <w:rsid w:val="009F719D"/>
    <w:rsid w:val="00A02011"/>
    <w:rsid w:val="00A13D9B"/>
    <w:rsid w:val="00A17D5A"/>
    <w:rsid w:val="00A248C1"/>
    <w:rsid w:val="00A31439"/>
    <w:rsid w:val="00A47923"/>
    <w:rsid w:val="00A54E5F"/>
    <w:rsid w:val="00A61E42"/>
    <w:rsid w:val="00A6490E"/>
    <w:rsid w:val="00A674B8"/>
    <w:rsid w:val="00A768A2"/>
    <w:rsid w:val="00A800BF"/>
    <w:rsid w:val="00A93117"/>
    <w:rsid w:val="00A9424D"/>
    <w:rsid w:val="00AA531A"/>
    <w:rsid w:val="00AB7FE0"/>
    <w:rsid w:val="00AC6DD2"/>
    <w:rsid w:val="00AE65B7"/>
    <w:rsid w:val="00AF3BB7"/>
    <w:rsid w:val="00AF44C8"/>
    <w:rsid w:val="00AF450C"/>
    <w:rsid w:val="00AF5E88"/>
    <w:rsid w:val="00AF74BE"/>
    <w:rsid w:val="00B130AE"/>
    <w:rsid w:val="00B41C15"/>
    <w:rsid w:val="00B509C9"/>
    <w:rsid w:val="00B5248C"/>
    <w:rsid w:val="00B537AD"/>
    <w:rsid w:val="00B71792"/>
    <w:rsid w:val="00B7441E"/>
    <w:rsid w:val="00B74480"/>
    <w:rsid w:val="00B80959"/>
    <w:rsid w:val="00B81A9D"/>
    <w:rsid w:val="00B8318B"/>
    <w:rsid w:val="00B832D1"/>
    <w:rsid w:val="00B94393"/>
    <w:rsid w:val="00BA167F"/>
    <w:rsid w:val="00BB1068"/>
    <w:rsid w:val="00BD1CD0"/>
    <w:rsid w:val="00BD33E9"/>
    <w:rsid w:val="00BE3B05"/>
    <w:rsid w:val="00BF1328"/>
    <w:rsid w:val="00BF1A67"/>
    <w:rsid w:val="00BF7313"/>
    <w:rsid w:val="00C01856"/>
    <w:rsid w:val="00C07995"/>
    <w:rsid w:val="00C1019B"/>
    <w:rsid w:val="00C14379"/>
    <w:rsid w:val="00C17094"/>
    <w:rsid w:val="00C233C0"/>
    <w:rsid w:val="00C26829"/>
    <w:rsid w:val="00C44329"/>
    <w:rsid w:val="00C5252F"/>
    <w:rsid w:val="00C63AD0"/>
    <w:rsid w:val="00C72480"/>
    <w:rsid w:val="00C7324F"/>
    <w:rsid w:val="00C73CCE"/>
    <w:rsid w:val="00C74A62"/>
    <w:rsid w:val="00C74D50"/>
    <w:rsid w:val="00C75B11"/>
    <w:rsid w:val="00C86893"/>
    <w:rsid w:val="00C86C6C"/>
    <w:rsid w:val="00C91AB7"/>
    <w:rsid w:val="00CA2BE1"/>
    <w:rsid w:val="00CA48FA"/>
    <w:rsid w:val="00CB0F61"/>
    <w:rsid w:val="00CB1093"/>
    <w:rsid w:val="00CB3555"/>
    <w:rsid w:val="00CB447F"/>
    <w:rsid w:val="00CB5C3D"/>
    <w:rsid w:val="00CB6CAC"/>
    <w:rsid w:val="00CC46E1"/>
    <w:rsid w:val="00CC518D"/>
    <w:rsid w:val="00CC6E76"/>
    <w:rsid w:val="00CC6E9F"/>
    <w:rsid w:val="00CC73BF"/>
    <w:rsid w:val="00CD064F"/>
    <w:rsid w:val="00CD4AE9"/>
    <w:rsid w:val="00CE49B3"/>
    <w:rsid w:val="00CF0384"/>
    <w:rsid w:val="00CF0C76"/>
    <w:rsid w:val="00CF0E50"/>
    <w:rsid w:val="00CF2594"/>
    <w:rsid w:val="00CF3269"/>
    <w:rsid w:val="00D0065F"/>
    <w:rsid w:val="00D04B93"/>
    <w:rsid w:val="00D149FF"/>
    <w:rsid w:val="00D17BE7"/>
    <w:rsid w:val="00D370A6"/>
    <w:rsid w:val="00D45B2D"/>
    <w:rsid w:val="00D529CB"/>
    <w:rsid w:val="00D52FEE"/>
    <w:rsid w:val="00D70B28"/>
    <w:rsid w:val="00D84BC3"/>
    <w:rsid w:val="00D84EDF"/>
    <w:rsid w:val="00DA0A13"/>
    <w:rsid w:val="00DA4215"/>
    <w:rsid w:val="00DB019F"/>
    <w:rsid w:val="00DB638E"/>
    <w:rsid w:val="00DC02FD"/>
    <w:rsid w:val="00DC0CD1"/>
    <w:rsid w:val="00DC6C30"/>
    <w:rsid w:val="00DC734E"/>
    <w:rsid w:val="00DC73CE"/>
    <w:rsid w:val="00DD1ADE"/>
    <w:rsid w:val="00DE1599"/>
    <w:rsid w:val="00DF48D6"/>
    <w:rsid w:val="00DF798B"/>
    <w:rsid w:val="00E03811"/>
    <w:rsid w:val="00E05A6C"/>
    <w:rsid w:val="00E07E77"/>
    <w:rsid w:val="00E14F59"/>
    <w:rsid w:val="00E231DE"/>
    <w:rsid w:val="00E31215"/>
    <w:rsid w:val="00E329B5"/>
    <w:rsid w:val="00E5031A"/>
    <w:rsid w:val="00E53178"/>
    <w:rsid w:val="00E53E36"/>
    <w:rsid w:val="00E53ED1"/>
    <w:rsid w:val="00E61097"/>
    <w:rsid w:val="00E66439"/>
    <w:rsid w:val="00E669F2"/>
    <w:rsid w:val="00E66F9A"/>
    <w:rsid w:val="00E703CB"/>
    <w:rsid w:val="00E719F5"/>
    <w:rsid w:val="00E761B2"/>
    <w:rsid w:val="00E9055F"/>
    <w:rsid w:val="00E90752"/>
    <w:rsid w:val="00E94F21"/>
    <w:rsid w:val="00EA7462"/>
    <w:rsid w:val="00EC5469"/>
    <w:rsid w:val="00ED333B"/>
    <w:rsid w:val="00ED780A"/>
    <w:rsid w:val="00EE4493"/>
    <w:rsid w:val="00EE5886"/>
    <w:rsid w:val="00EF127F"/>
    <w:rsid w:val="00EF63E5"/>
    <w:rsid w:val="00F00057"/>
    <w:rsid w:val="00F0066C"/>
    <w:rsid w:val="00F20F20"/>
    <w:rsid w:val="00F21C4A"/>
    <w:rsid w:val="00F2450D"/>
    <w:rsid w:val="00F27500"/>
    <w:rsid w:val="00F355B8"/>
    <w:rsid w:val="00F64E30"/>
    <w:rsid w:val="00F66E4F"/>
    <w:rsid w:val="00F7411B"/>
    <w:rsid w:val="00F90D99"/>
    <w:rsid w:val="00F97985"/>
    <w:rsid w:val="00FA040E"/>
    <w:rsid w:val="00FA045D"/>
    <w:rsid w:val="00FA3892"/>
    <w:rsid w:val="00FB14FD"/>
    <w:rsid w:val="00FC02B2"/>
    <w:rsid w:val="00FC5242"/>
    <w:rsid w:val="00FE24E1"/>
    <w:rsid w:val="00FE4290"/>
    <w:rsid w:val="00FE6270"/>
    <w:rsid w:val="00FF29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CE59E92"/>
  <w15:chartTrackingRefBased/>
  <w15:docId w15:val="{023EB1A5-CC91-2348-BC37-0C989A7F6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0AE"/>
    <w:pPr>
      <w:spacing w:after="160"/>
      <w:jc w:val="both"/>
    </w:pPr>
    <w:rPr>
      <w:rFonts w:ascii="Times New Roman" w:hAnsi="Times New Roman"/>
    </w:rPr>
  </w:style>
  <w:style w:type="paragraph" w:styleId="Heading1">
    <w:name w:val="heading 1"/>
    <w:basedOn w:val="Normal"/>
    <w:next w:val="Normal"/>
    <w:link w:val="Heading1Char"/>
    <w:uiPriority w:val="9"/>
    <w:qFormat/>
    <w:rsid w:val="00A47923"/>
    <w:pPr>
      <w:keepNext/>
      <w:keepLines/>
      <w:spacing w:before="160"/>
      <w:jc w:val="left"/>
      <w:outlineLvl w:val="0"/>
    </w:pPr>
    <w:rPr>
      <w:rFonts w:eastAsia="Times New Roman" w:cstheme="majorBidi"/>
      <w:b/>
      <w:color w:val="000000" w:themeColor="text1"/>
      <w:szCs w:val="40"/>
    </w:rPr>
  </w:style>
  <w:style w:type="paragraph" w:styleId="Heading2">
    <w:name w:val="heading 2"/>
    <w:basedOn w:val="Normal"/>
    <w:next w:val="Normal"/>
    <w:link w:val="Heading2Char"/>
    <w:uiPriority w:val="9"/>
    <w:unhideWhenUsed/>
    <w:qFormat/>
    <w:rsid w:val="00A47923"/>
    <w:pPr>
      <w:spacing w:before="160" w:beforeAutospacing="1" w:afterAutospacing="1"/>
      <w:jc w:val="left"/>
      <w:outlineLvl w:val="1"/>
    </w:pPr>
    <w:rPr>
      <w:rFonts w:eastAsia="Times New Roman" w:cs="Times New Roman"/>
      <w:i/>
      <w:iCs/>
      <w:kern w:val="0"/>
      <w14:ligatures w14:val="none"/>
    </w:rPr>
  </w:style>
  <w:style w:type="paragraph" w:styleId="Heading3">
    <w:name w:val="heading 3"/>
    <w:basedOn w:val="Normal"/>
    <w:next w:val="Normal"/>
    <w:link w:val="Heading3Char"/>
    <w:uiPriority w:val="9"/>
    <w:semiHidden/>
    <w:unhideWhenUsed/>
    <w:qFormat/>
    <w:rsid w:val="00CA2BE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2B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A2BE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A2BE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A2BE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A2BE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A2BE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qFormat/>
    <w:rsid w:val="005379BC"/>
    <w:pPr>
      <w:spacing w:after="120"/>
    </w:pPr>
    <w:rPr>
      <w:rFonts w:eastAsia="Times New Roman" w:cs="Times New Roman"/>
      <w:color w:val="000000"/>
      <w:kern w:val="0"/>
      <w:sz w:val="20"/>
      <w:szCs w:val="20"/>
      <w14:ligatures w14:val="none"/>
    </w:rPr>
  </w:style>
  <w:style w:type="character" w:customStyle="1" w:styleId="FootnoteTextChar">
    <w:name w:val="Footnote Text Char"/>
    <w:basedOn w:val="DefaultParagraphFont"/>
    <w:link w:val="FootnoteText"/>
    <w:uiPriority w:val="99"/>
    <w:rsid w:val="005379BC"/>
    <w:rPr>
      <w:rFonts w:ascii="Times New Roman" w:eastAsia="Times New Roman" w:hAnsi="Times New Roman" w:cs="Times New Roman"/>
      <w:color w:val="000000"/>
      <w:kern w:val="0"/>
      <w:sz w:val="20"/>
      <w:szCs w:val="20"/>
      <w14:ligatures w14:val="none"/>
    </w:rPr>
  </w:style>
  <w:style w:type="paragraph" w:styleId="List">
    <w:name w:val="List"/>
    <w:basedOn w:val="Normal"/>
    <w:autoRedefine/>
    <w:uiPriority w:val="99"/>
    <w:unhideWhenUsed/>
    <w:qFormat/>
    <w:rsid w:val="00117EEA"/>
    <w:pPr>
      <w:spacing w:before="100" w:beforeAutospacing="1" w:after="100" w:afterAutospacing="1"/>
      <w:ind w:left="360" w:hanging="360"/>
      <w:contextualSpacing/>
    </w:pPr>
    <w:rPr>
      <w:rFonts w:eastAsia="Times New Roman" w:cs="Times New Roman"/>
      <w:kern w:val="0"/>
      <w14:ligatures w14:val="none"/>
    </w:rPr>
  </w:style>
  <w:style w:type="paragraph" w:styleId="Bibliography">
    <w:name w:val="Bibliography"/>
    <w:basedOn w:val="Normal"/>
    <w:next w:val="Normal"/>
    <w:autoRedefine/>
    <w:uiPriority w:val="37"/>
    <w:unhideWhenUsed/>
    <w:qFormat/>
    <w:rsid w:val="00117EEA"/>
    <w:pPr>
      <w:ind w:left="360" w:hanging="360"/>
    </w:pPr>
    <w:rPr>
      <w:rFonts w:eastAsia="Times New Roman" w:cs="Times New Roman"/>
      <w:kern w:val="0"/>
      <w14:ligatures w14:val="none"/>
    </w:rPr>
  </w:style>
  <w:style w:type="paragraph" w:styleId="TOC2">
    <w:name w:val="toc 2"/>
    <w:basedOn w:val="Normal"/>
    <w:next w:val="Normal"/>
    <w:autoRedefine/>
    <w:uiPriority w:val="39"/>
    <w:unhideWhenUsed/>
    <w:qFormat/>
    <w:rsid w:val="000C2561"/>
    <w:pPr>
      <w:tabs>
        <w:tab w:val="right" w:pos="9350"/>
      </w:tabs>
    </w:pPr>
    <w:rPr>
      <w:rFonts w:eastAsia="Times New Roman" w:cs="Times New Roman"/>
      <w:b/>
      <w:bCs/>
      <w:kern w:val="0"/>
      <w:szCs w:val="20"/>
      <w14:ligatures w14:val="none"/>
    </w:rPr>
  </w:style>
  <w:style w:type="paragraph" w:styleId="TOC1">
    <w:name w:val="toc 1"/>
    <w:basedOn w:val="Normal"/>
    <w:next w:val="Normal"/>
    <w:autoRedefine/>
    <w:uiPriority w:val="39"/>
    <w:unhideWhenUsed/>
    <w:qFormat/>
    <w:rsid w:val="00CB3555"/>
    <w:pPr>
      <w:tabs>
        <w:tab w:val="right" w:pos="9350"/>
      </w:tabs>
      <w:spacing w:before="120"/>
    </w:pPr>
    <w:rPr>
      <w:rFonts w:eastAsia="Times New Roman" w:cs="Times New Roman"/>
      <w:bCs/>
      <w:caps/>
      <w:kern w:val="0"/>
      <w:sz w:val="20"/>
      <w14:ligatures w14:val="none"/>
    </w:rPr>
  </w:style>
  <w:style w:type="paragraph" w:styleId="TOC3">
    <w:name w:val="toc 3"/>
    <w:basedOn w:val="Normal"/>
    <w:next w:val="Normal"/>
    <w:autoRedefine/>
    <w:uiPriority w:val="39"/>
    <w:unhideWhenUsed/>
    <w:qFormat/>
    <w:rsid w:val="000C2561"/>
    <w:pPr>
      <w:ind w:left="245"/>
    </w:pPr>
    <w:rPr>
      <w:rFonts w:eastAsia="Times New Roman" w:cs="Times New Roman"/>
      <w:kern w:val="0"/>
      <w:szCs w:val="20"/>
      <w14:ligatures w14:val="none"/>
    </w:rPr>
  </w:style>
  <w:style w:type="character" w:customStyle="1" w:styleId="Heading2Char">
    <w:name w:val="Heading 2 Char"/>
    <w:link w:val="Heading2"/>
    <w:uiPriority w:val="9"/>
    <w:rsid w:val="00A47923"/>
    <w:rPr>
      <w:rFonts w:ascii="Times New Roman" w:eastAsia="Times New Roman" w:hAnsi="Times New Roman" w:cs="Times New Roman"/>
      <w:i/>
      <w:iCs/>
      <w:kern w:val="0"/>
      <w14:ligatures w14:val="none"/>
    </w:rPr>
  </w:style>
  <w:style w:type="character" w:styleId="SubtleEmphasis">
    <w:name w:val="Subtle Emphasis"/>
    <w:basedOn w:val="DefaultParagraphFont"/>
    <w:uiPriority w:val="19"/>
    <w:qFormat/>
    <w:rsid w:val="0029522E"/>
    <w:rPr>
      <w:rFonts w:ascii="Times New Roman" w:hAnsi="Times New Roman"/>
      <w:i/>
      <w:color w:val="0432FF"/>
      <w:sz w:val="24"/>
    </w:rPr>
  </w:style>
  <w:style w:type="character" w:customStyle="1" w:styleId="Heading1Char">
    <w:name w:val="Heading 1 Char"/>
    <w:basedOn w:val="DefaultParagraphFont"/>
    <w:link w:val="Heading1"/>
    <w:uiPriority w:val="9"/>
    <w:rsid w:val="00A47923"/>
    <w:rPr>
      <w:rFonts w:ascii="Times New Roman" w:eastAsia="Times New Roman" w:hAnsi="Times New Roman" w:cstheme="majorBidi"/>
      <w:b/>
      <w:color w:val="000000" w:themeColor="text1"/>
      <w:szCs w:val="40"/>
    </w:rPr>
  </w:style>
  <w:style w:type="character" w:customStyle="1" w:styleId="Heading3Char">
    <w:name w:val="Heading 3 Char"/>
    <w:basedOn w:val="DefaultParagraphFont"/>
    <w:link w:val="Heading3"/>
    <w:uiPriority w:val="9"/>
    <w:semiHidden/>
    <w:rsid w:val="00CA2B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2B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2B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2B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2B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2B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2BE1"/>
    <w:rPr>
      <w:rFonts w:eastAsiaTheme="majorEastAsia" w:cstheme="majorBidi"/>
      <w:color w:val="272727" w:themeColor="text1" w:themeTint="D8"/>
    </w:rPr>
  </w:style>
  <w:style w:type="paragraph" w:styleId="Title">
    <w:name w:val="Title"/>
    <w:basedOn w:val="Normal"/>
    <w:next w:val="Normal"/>
    <w:link w:val="TitleChar"/>
    <w:uiPriority w:val="10"/>
    <w:qFormat/>
    <w:rsid w:val="00B130AE"/>
    <w:pPr>
      <w:contextualSpacing/>
      <w:jc w:val="center"/>
    </w:pPr>
    <w:rPr>
      <w:rFonts w:eastAsia="Times New Roman" w:cs="Times New Roman"/>
      <w:kern w:val="28"/>
    </w:rPr>
  </w:style>
  <w:style w:type="character" w:customStyle="1" w:styleId="TitleChar">
    <w:name w:val="Title Char"/>
    <w:basedOn w:val="DefaultParagraphFont"/>
    <w:link w:val="Title"/>
    <w:uiPriority w:val="10"/>
    <w:rsid w:val="00B130AE"/>
    <w:rPr>
      <w:rFonts w:ascii="Times New Roman" w:eastAsia="Times New Roman" w:hAnsi="Times New Roman" w:cs="Times New Roman"/>
      <w:kern w:val="28"/>
    </w:rPr>
  </w:style>
  <w:style w:type="paragraph" w:styleId="Subtitle">
    <w:name w:val="Subtitle"/>
    <w:basedOn w:val="Normal"/>
    <w:next w:val="Normal"/>
    <w:link w:val="SubtitleChar"/>
    <w:uiPriority w:val="11"/>
    <w:qFormat/>
    <w:rsid w:val="00CA2BE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2B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2BE1"/>
    <w:pPr>
      <w:spacing w:before="160"/>
      <w:jc w:val="center"/>
    </w:pPr>
    <w:rPr>
      <w:i/>
      <w:iCs/>
      <w:color w:val="404040" w:themeColor="text1" w:themeTint="BF"/>
    </w:rPr>
  </w:style>
  <w:style w:type="character" w:customStyle="1" w:styleId="QuoteChar">
    <w:name w:val="Quote Char"/>
    <w:basedOn w:val="DefaultParagraphFont"/>
    <w:link w:val="Quote"/>
    <w:uiPriority w:val="29"/>
    <w:rsid w:val="00CA2BE1"/>
    <w:rPr>
      <w:rFonts w:ascii="Times New Roman" w:hAnsi="Times New Roman"/>
      <w:i/>
      <w:iCs/>
      <w:color w:val="404040" w:themeColor="text1" w:themeTint="BF"/>
    </w:rPr>
  </w:style>
  <w:style w:type="paragraph" w:styleId="ListParagraph">
    <w:name w:val="List Paragraph"/>
    <w:basedOn w:val="Normal"/>
    <w:uiPriority w:val="34"/>
    <w:qFormat/>
    <w:rsid w:val="00CA2BE1"/>
    <w:pPr>
      <w:ind w:left="720"/>
      <w:contextualSpacing/>
    </w:pPr>
  </w:style>
  <w:style w:type="character" w:styleId="IntenseEmphasis">
    <w:name w:val="Intense Emphasis"/>
    <w:basedOn w:val="DefaultParagraphFont"/>
    <w:uiPriority w:val="21"/>
    <w:qFormat/>
    <w:rsid w:val="00CA2BE1"/>
    <w:rPr>
      <w:i/>
      <w:iCs/>
      <w:color w:val="0F4761" w:themeColor="accent1" w:themeShade="BF"/>
    </w:rPr>
  </w:style>
  <w:style w:type="paragraph" w:styleId="IntenseQuote">
    <w:name w:val="Intense Quote"/>
    <w:basedOn w:val="Normal"/>
    <w:next w:val="Normal"/>
    <w:link w:val="IntenseQuoteChar"/>
    <w:uiPriority w:val="30"/>
    <w:qFormat/>
    <w:rsid w:val="00CA2B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2BE1"/>
    <w:rPr>
      <w:rFonts w:ascii="Times New Roman" w:hAnsi="Times New Roman"/>
      <w:i/>
      <w:iCs/>
      <w:color w:val="0F4761" w:themeColor="accent1" w:themeShade="BF"/>
    </w:rPr>
  </w:style>
  <w:style w:type="character" w:styleId="IntenseReference">
    <w:name w:val="Intense Reference"/>
    <w:basedOn w:val="DefaultParagraphFont"/>
    <w:uiPriority w:val="32"/>
    <w:qFormat/>
    <w:rsid w:val="00CA2BE1"/>
    <w:rPr>
      <w:b/>
      <w:bCs/>
      <w:smallCaps/>
      <w:color w:val="0F4761" w:themeColor="accent1" w:themeShade="BF"/>
      <w:spacing w:val="5"/>
    </w:rPr>
  </w:style>
  <w:style w:type="character" w:styleId="Emphasis">
    <w:name w:val="Emphasis"/>
    <w:basedOn w:val="DefaultParagraphFont"/>
    <w:uiPriority w:val="20"/>
    <w:qFormat/>
    <w:rsid w:val="00CA2BE1"/>
    <w:rPr>
      <w:i/>
      <w:iCs/>
    </w:rPr>
  </w:style>
  <w:style w:type="character" w:styleId="Strong">
    <w:name w:val="Strong"/>
    <w:basedOn w:val="DefaultParagraphFont"/>
    <w:uiPriority w:val="22"/>
    <w:qFormat/>
    <w:rsid w:val="00CA2BE1"/>
    <w:rPr>
      <w:b/>
      <w:bCs/>
    </w:rPr>
  </w:style>
  <w:style w:type="paragraph" w:customStyle="1" w:styleId="my-2">
    <w:name w:val="my-2"/>
    <w:basedOn w:val="Normal"/>
    <w:rsid w:val="00E94F21"/>
    <w:pPr>
      <w:spacing w:before="100" w:beforeAutospacing="1" w:after="100" w:afterAutospacing="1"/>
    </w:pPr>
    <w:rPr>
      <w:rFonts w:eastAsia="Times New Roman" w:cs="Times New Roman"/>
      <w:kern w:val="0"/>
      <w14:ligatures w14:val="none"/>
    </w:rPr>
  </w:style>
  <w:style w:type="character" w:styleId="BookTitle">
    <w:name w:val="Book Title"/>
    <w:basedOn w:val="DefaultParagraphFont"/>
    <w:uiPriority w:val="33"/>
    <w:qFormat/>
    <w:rsid w:val="00E53178"/>
    <w:rPr>
      <w:b/>
      <w:bCs/>
      <w:i/>
      <w:iCs/>
      <w:spacing w:val="5"/>
    </w:rPr>
  </w:style>
  <w:style w:type="paragraph" w:styleId="Caption">
    <w:name w:val="caption"/>
    <w:basedOn w:val="Normal"/>
    <w:next w:val="Normal"/>
    <w:uiPriority w:val="35"/>
    <w:semiHidden/>
    <w:unhideWhenUsed/>
    <w:qFormat/>
    <w:rsid w:val="00E53178"/>
    <w:pPr>
      <w:spacing w:after="200"/>
    </w:pPr>
    <w:rPr>
      <w:i/>
      <w:iCs/>
      <w:color w:val="0E2841" w:themeColor="text2"/>
      <w:sz w:val="18"/>
      <w:szCs w:val="18"/>
    </w:rPr>
  </w:style>
  <w:style w:type="paragraph" w:styleId="NoSpacing">
    <w:name w:val="No Spacing"/>
    <w:uiPriority w:val="1"/>
    <w:qFormat/>
    <w:rsid w:val="00E53178"/>
    <w:rPr>
      <w:rFonts w:ascii="Times New Roman" w:hAnsi="Times New Roman"/>
    </w:rPr>
  </w:style>
  <w:style w:type="character" w:styleId="SubtleReference">
    <w:name w:val="Subtle Reference"/>
    <w:basedOn w:val="DefaultParagraphFont"/>
    <w:uiPriority w:val="31"/>
    <w:qFormat/>
    <w:rsid w:val="00E53178"/>
    <w:rPr>
      <w:smallCaps/>
      <w:color w:val="5A5A5A" w:themeColor="text1" w:themeTint="A5"/>
    </w:rPr>
  </w:style>
  <w:style w:type="paragraph" w:styleId="TOCHeading">
    <w:name w:val="TOC Heading"/>
    <w:basedOn w:val="Heading1"/>
    <w:next w:val="Normal"/>
    <w:uiPriority w:val="39"/>
    <w:semiHidden/>
    <w:unhideWhenUsed/>
    <w:qFormat/>
    <w:rsid w:val="00E53178"/>
    <w:pPr>
      <w:spacing w:before="240" w:after="0"/>
      <w:outlineLvl w:val="9"/>
    </w:pPr>
    <w:rPr>
      <w:sz w:val="32"/>
      <w:szCs w:val="32"/>
    </w:rPr>
  </w:style>
  <w:style w:type="paragraph" w:styleId="Header">
    <w:name w:val="header"/>
    <w:basedOn w:val="Normal"/>
    <w:link w:val="HeaderChar"/>
    <w:uiPriority w:val="99"/>
    <w:unhideWhenUsed/>
    <w:rsid w:val="00094956"/>
    <w:pPr>
      <w:tabs>
        <w:tab w:val="center" w:pos="4680"/>
        <w:tab w:val="right" w:pos="9360"/>
      </w:tabs>
    </w:pPr>
  </w:style>
  <w:style w:type="character" w:customStyle="1" w:styleId="HeaderChar">
    <w:name w:val="Header Char"/>
    <w:basedOn w:val="DefaultParagraphFont"/>
    <w:link w:val="Header"/>
    <w:uiPriority w:val="99"/>
    <w:rsid w:val="00094956"/>
    <w:rPr>
      <w:rFonts w:ascii="Times New Roman" w:hAnsi="Times New Roman"/>
    </w:rPr>
  </w:style>
  <w:style w:type="paragraph" w:styleId="Footer">
    <w:name w:val="footer"/>
    <w:basedOn w:val="Normal"/>
    <w:link w:val="FooterChar"/>
    <w:uiPriority w:val="99"/>
    <w:unhideWhenUsed/>
    <w:rsid w:val="00094956"/>
    <w:pPr>
      <w:tabs>
        <w:tab w:val="center" w:pos="4680"/>
        <w:tab w:val="right" w:pos="9360"/>
      </w:tabs>
    </w:pPr>
  </w:style>
  <w:style w:type="character" w:customStyle="1" w:styleId="FooterChar">
    <w:name w:val="Footer Char"/>
    <w:basedOn w:val="DefaultParagraphFont"/>
    <w:link w:val="Footer"/>
    <w:uiPriority w:val="99"/>
    <w:rsid w:val="00094956"/>
    <w:rPr>
      <w:rFonts w:ascii="Times New Roman" w:hAnsi="Times New Roman"/>
    </w:rPr>
  </w:style>
  <w:style w:type="character" w:styleId="PageNumber">
    <w:name w:val="page number"/>
    <w:basedOn w:val="DefaultParagraphFont"/>
    <w:uiPriority w:val="99"/>
    <w:semiHidden/>
    <w:unhideWhenUsed/>
    <w:rsid w:val="00094956"/>
  </w:style>
  <w:style w:type="paragraph" w:customStyle="1" w:styleId="pdq2pgselectionanchorcontainer">
    <w:name w:val="pdq2pg_selectionanchorcontainer"/>
    <w:basedOn w:val="Normal"/>
    <w:rsid w:val="000C64C1"/>
    <w:pPr>
      <w:spacing w:beforeAutospacing="1" w:afterAutospacing="1"/>
    </w:pPr>
    <w:rPr>
      <w:rFonts w:eastAsia="Times New Roman" w:cs="Times New Roman"/>
      <w:kern w:val="0"/>
      <w14:ligatures w14:val="none"/>
    </w:rPr>
  </w:style>
  <w:style w:type="paragraph" w:styleId="NormalWeb">
    <w:name w:val="Normal (Web)"/>
    <w:basedOn w:val="Normal"/>
    <w:uiPriority w:val="99"/>
    <w:unhideWhenUsed/>
    <w:rsid w:val="000C64C1"/>
    <w:pPr>
      <w:spacing w:beforeAutospacing="1" w:afterAutospacing="1"/>
    </w:pPr>
    <w:rPr>
      <w:rFonts w:eastAsia="Times New Roman" w:cs="Times New Roman"/>
      <w:kern w:val="0"/>
      <w14:ligatures w14:val="none"/>
    </w:rPr>
  </w:style>
  <w:style w:type="character" w:customStyle="1" w:styleId="apple-converted-space">
    <w:name w:val="apple-converted-space"/>
    <w:basedOn w:val="DefaultParagraphFont"/>
    <w:rsid w:val="000C64C1"/>
  </w:style>
  <w:style w:type="paragraph" w:styleId="Revision">
    <w:name w:val="Revision"/>
    <w:hidden/>
    <w:uiPriority w:val="99"/>
    <w:semiHidden/>
    <w:rsid w:val="00072CFA"/>
    <w:rPr>
      <w:rFonts w:ascii="Times New Roman" w:hAnsi="Times New Roman"/>
    </w:rPr>
  </w:style>
  <w:style w:type="character" w:styleId="Hyperlink">
    <w:name w:val="Hyperlink"/>
    <w:basedOn w:val="DefaultParagraphFont"/>
    <w:uiPriority w:val="99"/>
    <w:unhideWhenUsed/>
    <w:rsid w:val="008418EF"/>
    <w:rPr>
      <w:color w:val="467886" w:themeColor="hyperlink"/>
      <w:u w:val="single"/>
    </w:rPr>
  </w:style>
  <w:style w:type="character" w:styleId="UnresolvedMention">
    <w:name w:val="Unresolved Mention"/>
    <w:basedOn w:val="DefaultParagraphFont"/>
    <w:uiPriority w:val="99"/>
    <w:semiHidden/>
    <w:unhideWhenUsed/>
    <w:rsid w:val="008418EF"/>
    <w:rPr>
      <w:color w:val="605E5C"/>
      <w:shd w:val="clear" w:color="auto" w:fill="E1DFDD"/>
    </w:rPr>
  </w:style>
  <w:style w:type="character" w:styleId="CommentReference">
    <w:name w:val="annotation reference"/>
    <w:basedOn w:val="DefaultParagraphFont"/>
    <w:uiPriority w:val="99"/>
    <w:semiHidden/>
    <w:unhideWhenUsed/>
    <w:rsid w:val="00D370A6"/>
    <w:rPr>
      <w:sz w:val="16"/>
      <w:szCs w:val="16"/>
    </w:rPr>
  </w:style>
  <w:style w:type="paragraph" w:styleId="CommentText">
    <w:name w:val="annotation text"/>
    <w:basedOn w:val="Normal"/>
    <w:link w:val="CommentTextChar"/>
    <w:uiPriority w:val="99"/>
    <w:semiHidden/>
    <w:unhideWhenUsed/>
    <w:rsid w:val="00D370A6"/>
    <w:rPr>
      <w:sz w:val="20"/>
      <w:szCs w:val="20"/>
    </w:rPr>
  </w:style>
  <w:style w:type="character" w:customStyle="1" w:styleId="CommentTextChar">
    <w:name w:val="Comment Text Char"/>
    <w:basedOn w:val="DefaultParagraphFont"/>
    <w:link w:val="CommentText"/>
    <w:uiPriority w:val="99"/>
    <w:semiHidden/>
    <w:rsid w:val="00D370A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370A6"/>
    <w:rPr>
      <w:b/>
      <w:bCs/>
    </w:rPr>
  </w:style>
  <w:style w:type="character" w:customStyle="1" w:styleId="CommentSubjectChar">
    <w:name w:val="Comment Subject Char"/>
    <w:basedOn w:val="CommentTextChar"/>
    <w:link w:val="CommentSubject"/>
    <w:uiPriority w:val="99"/>
    <w:semiHidden/>
    <w:rsid w:val="00D370A6"/>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lobalmissiology.or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F1B02-EDF8-4348-ADF5-5EBFA887E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5463</Words>
  <Characters>31145</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Philip</dc:creator>
  <cp:keywords/>
  <dc:description/>
  <cp:lastModifiedBy>Nelson Jennings</cp:lastModifiedBy>
  <cp:revision>2</cp:revision>
  <dcterms:created xsi:type="dcterms:W3CDTF">2026-10-01T14:20:00Z</dcterms:created>
  <dcterms:modified xsi:type="dcterms:W3CDTF">2026-10-01T14:20:00Z</dcterms:modified>
</cp:coreProperties>
</file>